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1324"/>
        <w:tblW w:w="953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523"/>
        <w:gridCol w:w="958"/>
        <w:gridCol w:w="3356"/>
        <w:gridCol w:w="1170"/>
        <w:gridCol w:w="22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13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52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431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1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记分标准</w:t>
            </w:r>
          </w:p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参考）</w:t>
            </w:r>
          </w:p>
        </w:tc>
        <w:tc>
          <w:tcPr>
            <w:tcW w:w="222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备  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思想品行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全国优秀学生、全国优秀学生干部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同一批获奖者以最高奖项计算一次,不重复计算。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市优秀三好学生、优秀学生干部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2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市优秀团员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22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校三好学生、优秀学生干部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2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校优秀团员干部（2014年称谓改为优秀学生）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2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奖学金</w:t>
            </w:r>
          </w:p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获得情况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获得国家奖学金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20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获得特等奖学金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22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获得一等奖学金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22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获得二等奖学金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2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获得三等奖学金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228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学术创造（</w:t>
            </w: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lang w:val="en-US" w:eastAsia="zh-CN"/>
              </w:rPr>
              <w:t>仅限毕业学年当年未参评奖学金）</w:t>
            </w: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MFA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艺术创作国家级一/二/三等奖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20/18/15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30" w:lineRule="atLeast"/>
              <w:jc w:val="left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申报最有代表性的奖项，地市级或校级奖项数量不得超过三项</w:t>
            </w:r>
          </w:p>
          <w:p>
            <w:pPr>
              <w:widowControl/>
              <w:numPr>
                <w:ilvl w:val="0"/>
                <w:numId w:val="1"/>
              </w:numPr>
              <w:spacing w:line="330" w:lineRule="atLeast"/>
              <w:jc w:val="left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限主创人员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艺术创作省部级一/二/三等奖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14/12/10</w:t>
            </w:r>
          </w:p>
        </w:tc>
        <w:tc>
          <w:tcPr>
            <w:tcW w:w="2228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艺术创作地市级一/二/三等奖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5/4/3</w:t>
            </w:r>
          </w:p>
        </w:tc>
        <w:tc>
          <w:tcPr>
            <w:tcW w:w="2228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艺术创作校级一/二/三等奖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3/2/1</w:t>
            </w:r>
          </w:p>
        </w:tc>
        <w:tc>
          <w:tcPr>
            <w:tcW w:w="222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  <w:t>博士和MA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发表C刊收录论文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28" w:type="dxa"/>
            <w:vMerge w:val="restart"/>
            <w:tcBorders>
              <w:top w:val="nil"/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申报最有代表性的论文，一般期刊数量不得超过三项</w:t>
            </w:r>
          </w:p>
          <w:p>
            <w:pPr>
              <w:widowControl/>
              <w:numPr>
                <w:ilvl w:val="0"/>
                <w:numId w:val="2"/>
              </w:numPr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未尽事宜参考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奖学金</w:t>
            </w: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评定条例》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58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发表C刊扩展收录论文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default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28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北大核心期刊发表论文（不包含评论）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28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一般核心期刊发表论文（不包含评论）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3-4</w:t>
            </w:r>
          </w:p>
        </w:tc>
        <w:tc>
          <w:tcPr>
            <w:tcW w:w="2228" w:type="dxa"/>
            <w:vMerge w:val="continue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33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一般学术期刊发表论文（不包含评论）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Calibri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1-2</w:t>
            </w:r>
          </w:p>
        </w:tc>
        <w:tc>
          <w:tcPr>
            <w:tcW w:w="2228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3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实践学分</w:t>
            </w:r>
          </w:p>
        </w:tc>
        <w:tc>
          <w:tcPr>
            <w:tcW w:w="48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单项奖一/二/三等奖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5/3/1</w:t>
            </w:r>
          </w:p>
        </w:tc>
        <w:tc>
          <w:tcPr>
            <w:tcW w:w="2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30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Calibri" w:hAnsi="Calibri" w:eastAsia="宋体" w:cs="Calibri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333333"/>
                <w:kern w:val="0"/>
                <w:sz w:val="24"/>
                <w:szCs w:val="24"/>
              </w:rPr>
              <w:t>学生评审</w:t>
            </w:r>
          </w:p>
        </w:tc>
        <w:tc>
          <w:tcPr>
            <w:tcW w:w="48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上海戏剧学院研究生优秀毕业生评分标准</w:t>
      </w:r>
    </w:p>
    <w:p>
      <w:pPr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（暂行）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3F3F3F"/>
          <w:kern w:val="0"/>
          <w:sz w:val="28"/>
          <w:szCs w:val="28"/>
          <w:highlight w:val="none"/>
          <w:lang w:val="en-US" w:eastAsia="zh-CN"/>
        </w:rPr>
        <w:t>注：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、所有获奖情况和科研情况均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为最高学历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在读期间获得（新生奖学金不在申报范围内、非定向博士生只能申报学业奖学金、科研成果奖不在申报范围之内）。</w:t>
      </w:r>
      <w:bookmarkStart w:id="0" w:name="_GoBack"/>
      <w:bookmarkEnd w:id="0"/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、评分标准中“思想品行”、“奖学金获得情况”、“学术创造”、“实践学分”总分占比为70%、学生评审占比5%，老师评审占比25%。思想品行存在严重问题者进行一票否决。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、根据不同方向研究生培养目标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的要求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，对MA/博士学生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认定一项艺术创作奖项,对MFA学生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仅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认定一项论文成果。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、其他未尽论文、奖项、课题、基金项目评分标准参考《上海戏剧学院研究生奖学金评定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条例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》并提请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院系优秀毕业生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评审委员会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审核。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、非全日制研究生、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定向博士、提前毕业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/>
        </w:rPr>
        <w:t>缩短学习年制）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</w:rPr>
        <w:t>学生评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选条件参考本办法，对奖学金不作硬性要求。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上海市优秀毕业生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原则上应获得过校级以上荣誉，或在某一方面表现突出，成绩显著或作出突出贡献。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6、以下学生不具备优秀毕业生参评资格：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1）全日制硕士生实践学分不满2分；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2）延期毕业学生（含超过学制年限、毕业当年度无法取得学位、学历证书的学生）；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3）全日制研究生最高学历期间未获得过两次奖学金者。</w:t>
      </w:r>
    </w:p>
    <w:p>
      <w:pPr>
        <w:ind w:left="0" w:leftChars="0" w:firstLine="490" w:firstLineChars="175"/>
        <w:jc w:val="left"/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7、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本评分标准由研究生部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学工部共同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</w:rPr>
        <w:t>负责解</w:t>
      </w:r>
      <w:r>
        <w:rPr>
          <w:rFonts w:hint="eastAsia" w:ascii="仿宋" w:hAnsi="仿宋" w:eastAsia="仿宋" w:cs="仿宋"/>
          <w:color w:val="3F3F3F"/>
          <w:kern w:val="0"/>
          <w:sz w:val="28"/>
          <w:szCs w:val="28"/>
          <w:highlight w:val="none"/>
          <w:lang w:val="en-US" w:eastAsia="zh-CN"/>
        </w:rPr>
        <w:t>释，如有未尽事宜，参照上级文件及学校有关文件执行。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AFC52"/>
    <w:multiLevelType w:val="singleLevel"/>
    <w:tmpl w:val="818AFC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A82F5BD"/>
    <w:multiLevelType w:val="singleLevel"/>
    <w:tmpl w:val="9A82F5B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B6FAD"/>
    <w:rsid w:val="01CD1DF7"/>
    <w:rsid w:val="0C192C80"/>
    <w:rsid w:val="0CD27E9E"/>
    <w:rsid w:val="0E3B1A16"/>
    <w:rsid w:val="10D91D37"/>
    <w:rsid w:val="18470174"/>
    <w:rsid w:val="1C1B6FAD"/>
    <w:rsid w:val="20333876"/>
    <w:rsid w:val="23F62D92"/>
    <w:rsid w:val="27F829E2"/>
    <w:rsid w:val="3D455496"/>
    <w:rsid w:val="3F876A17"/>
    <w:rsid w:val="46560EA5"/>
    <w:rsid w:val="50635168"/>
    <w:rsid w:val="564A5590"/>
    <w:rsid w:val="59CB2F77"/>
    <w:rsid w:val="5B8E6BCB"/>
    <w:rsid w:val="5BCA6048"/>
    <w:rsid w:val="5CBB42B1"/>
    <w:rsid w:val="5EBE2EAC"/>
    <w:rsid w:val="602217E3"/>
    <w:rsid w:val="6A1D3A9B"/>
    <w:rsid w:val="6F805BA4"/>
    <w:rsid w:val="79F9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955</Words>
  <Characters>1020</Characters>
  <Lines>0</Lines>
  <Paragraphs>0</Paragraphs>
  <TotalTime>23</TotalTime>
  <ScaleCrop>false</ScaleCrop>
  <LinksUpToDate>false</LinksUpToDate>
  <CharactersWithSpaces>1022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2022-04-01T01:26:00Z</dcterms:created>
  <dc:creator>张国丽</dc:creator>
  <cp:lastModifiedBy>张国丽</cp:lastModifiedBy>
  <dcterms:modified xsi:type="dcterms:W3CDTF">2022-04-15T06:13:49Z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32F6EF1E0BEF4123B17DDCD6B35A651D</vt:lpwstr>
  </property>
</Properties>
</file>