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1DFAE">
      <w:pPr>
        <w:pStyle w:val="2"/>
        <w:bidi w:val="0"/>
        <w:jc w:val="center"/>
        <w:rPr>
          <w:rFonts w:hint="eastAsia"/>
          <w:lang w:eastAsia="zh-CN"/>
        </w:rPr>
      </w:pPr>
      <w:r>
        <w:rPr>
          <w:rFonts w:hint="eastAsia"/>
        </w:rPr>
        <w:t>上海戏剧学院</w:t>
      </w:r>
      <w:r>
        <w:rPr>
          <w:rFonts w:hint="eastAsia"/>
          <w:lang w:eastAsia="zh-CN"/>
        </w:rPr>
        <w:t>艺术科技与管理学院</w:t>
      </w:r>
    </w:p>
    <w:p w14:paraId="1C6F6CA1">
      <w:pPr>
        <w:pStyle w:val="2"/>
        <w:bidi w:val="0"/>
        <w:jc w:val="center"/>
        <w:rPr>
          <w:rFonts w:hint="eastAsia"/>
        </w:rPr>
      </w:pPr>
      <w:r>
        <w:rPr>
          <w:rFonts w:hint="eastAsia"/>
        </w:rPr>
        <w:t>硕士研究生学业奖学金评定实施细则</w:t>
      </w:r>
    </w:p>
    <w:p w14:paraId="20EFA0AF">
      <w:pPr>
        <w:pStyle w:val="7"/>
        <w:widowControl/>
        <w:spacing w:beforeAutospacing="0" w:afterAutospacing="0" w:line="360" w:lineRule="auto"/>
        <w:ind w:firstLine="482"/>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为了鼓励研究生学习学业的积极性，从2014年开始推行研究生学业奖学金评定工作。根据</w:t>
      </w:r>
      <w:bookmarkStart w:id="0" w:name="OLE_LINK314"/>
      <w:bookmarkStart w:id="1" w:name="OLE_LINK315"/>
      <w:r>
        <w:rPr>
          <w:rFonts w:hint="eastAsia" w:ascii="仿宋" w:hAnsi="仿宋" w:eastAsia="仿宋" w:cs="仿宋"/>
          <w:color w:val="000000" w:themeColor="text1"/>
          <w:sz w:val="32"/>
          <w:szCs w:val="32"/>
          <w:highlight w:val="none"/>
          <w14:textFill>
            <w14:solidFill>
              <w14:schemeClr w14:val="tx1"/>
            </w14:solidFill>
          </w14:textFill>
        </w:rPr>
        <w:t>《上海市教育委员会 上海市财政局 上海市退役军人事务局 上海市人民政府征兵办公室</w:t>
      </w:r>
      <w:r>
        <w:rPr>
          <w:rFonts w:hint="eastAsia" w:ascii="仿宋" w:hAnsi="仿宋" w:eastAsia="仿宋" w:cs="仿宋"/>
          <w:color w:val="000000" w:themeColor="text1"/>
          <w:sz w:val="32"/>
          <w:szCs w:val="32"/>
          <w:highlight w:val="none"/>
          <w:lang w:val="en-US" w:eastAsia="zh-CN"/>
          <w14:textFill>
            <w14:solidFill>
              <w14:schemeClr w14:val="tx1"/>
            </w14:solidFill>
          </w14:textFill>
        </w:rPr>
        <w:t>&lt;</w:t>
      </w:r>
      <w:r>
        <w:rPr>
          <w:rFonts w:hint="eastAsia" w:ascii="仿宋" w:hAnsi="仿宋" w:eastAsia="仿宋" w:cs="仿宋"/>
          <w:color w:val="000000" w:themeColor="text1"/>
          <w:sz w:val="32"/>
          <w:szCs w:val="32"/>
          <w:highlight w:val="none"/>
          <w14:textFill>
            <w14:solidFill>
              <w14:schemeClr w14:val="tx1"/>
            </w14:solidFill>
          </w14:textFill>
        </w:rPr>
        <w:t>关于印发上海市普通高等学校学生资助资金管理实施办法</w:t>
      </w:r>
      <w:r>
        <w:rPr>
          <w:rFonts w:hint="eastAsia" w:ascii="仿宋" w:hAnsi="仿宋" w:eastAsia="仿宋" w:cs="仿宋"/>
          <w:color w:val="000000" w:themeColor="text1"/>
          <w:sz w:val="32"/>
          <w:szCs w:val="32"/>
          <w:highlight w:val="none"/>
          <w:lang w:val="en-US" w:eastAsia="zh-CN"/>
          <w14:textFill>
            <w14:solidFill>
              <w14:schemeClr w14:val="tx1"/>
            </w14:solidFill>
          </w14:textFill>
        </w:rPr>
        <w:t>&gt;</w:t>
      </w:r>
      <w:r>
        <w:rPr>
          <w:rFonts w:hint="eastAsia" w:ascii="仿宋" w:hAnsi="仿宋" w:eastAsia="仿宋" w:cs="仿宋"/>
          <w:color w:val="000000" w:themeColor="text1"/>
          <w:sz w:val="32"/>
          <w:szCs w:val="32"/>
          <w:highlight w:val="none"/>
          <w14:textFill>
            <w14:solidFill>
              <w14:schemeClr w14:val="tx1"/>
            </w14:solidFill>
          </w14:textFill>
        </w:rPr>
        <w:t>的通知》（沪教委规〔2025〕8号）</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《上海市普通高等学校学生资助资金管理实施办法》（沪教委规〔2020〕2号）</w:t>
      </w:r>
      <w:bookmarkEnd w:id="0"/>
      <w:bookmarkEnd w:id="1"/>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《上海戏剧学院研究生学业奖学金评审办法（202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年修订）》等文件</w:t>
      </w:r>
      <w:r>
        <w:rPr>
          <w:rFonts w:hint="eastAsia" w:ascii="仿宋" w:hAnsi="仿宋" w:eastAsia="仿宋" w:cs="仿宋"/>
          <w:color w:val="000000" w:themeColor="text1"/>
          <w:sz w:val="32"/>
          <w:szCs w:val="32"/>
          <w:highlight w:val="none"/>
          <w:lang w:val="en-US" w:eastAsia="zh-CN"/>
          <w14:textFill>
            <w14:solidFill>
              <w14:schemeClr w14:val="tx1"/>
            </w14:solidFill>
          </w14:textFill>
        </w:rPr>
        <w:t>精神</w:t>
      </w:r>
      <w:r>
        <w:rPr>
          <w:rFonts w:hint="eastAsia" w:ascii="仿宋" w:hAnsi="仿宋" w:eastAsia="仿宋" w:cs="仿宋"/>
          <w:color w:val="000000" w:themeColor="text1"/>
          <w:sz w:val="32"/>
          <w:szCs w:val="32"/>
          <w:highlight w:val="none"/>
          <w14:textFill>
            <w14:solidFill>
              <w14:schemeClr w14:val="tx1"/>
            </w14:solidFill>
          </w14:textFill>
        </w:rPr>
        <w:t>制定本细则。</w:t>
      </w:r>
    </w:p>
    <w:p w14:paraId="2BABDC08">
      <w:pPr>
        <w:pStyle w:val="7"/>
        <w:widowControl/>
        <w:spacing w:beforeAutospacing="0" w:afterAutospacing="0" w:line="360" w:lineRule="auto"/>
        <w:jc w:val="both"/>
        <w:rPr>
          <w:rFonts w:hint="eastAsia" w:ascii="仿宋" w:hAnsi="仿宋" w:eastAsia="仿宋" w:cs="仿宋"/>
          <w:color w:val="333333"/>
          <w:sz w:val="32"/>
          <w:szCs w:val="32"/>
        </w:rPr>
      </w:pPr>
      <w:r>
        <w:rPr>
          <w:rStyle w:val="11"/>
          <w:rFonts w:hint="eastAsia" w:ascii="仿宋" w:hAnsi="仿宋" w:eastAsia="仿宋" w:cs="仿宋"/>
          <w:color w:val="000000"/>
          <w:sz w:val="32"/>
          <w:szCs w:val="32"/>
        </w:rPr>
        <w:t>一、参评范围与对象</w:t>
      </w:r>
    </w:p>
    <w:p w14:paraId="4F90A0CC">
      <w:pPr>
        <w:pStyle w:val="7"/>
        <w:widowControl/>
        <w:spacing w:beforeAutospacing="0" w:afterAutospacing="0"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全日制硕士研究生。留学生、人事档案不转入本校的硕士研究生及延期毕业硕士研究生除外。</w:t>
      </w:r>
    </w:p>
    <w:p w14:paraId="7A759709">
      <w:pPr>
        <w:pStyle w:val="7"/>
        <w:widowControl/>
        <w:spacing w:beforeAutospacing="0" w:afterAutospacing="0" w:line="360" w:lineRule="auto"/>
        <w:jc w:val="both"/>
        <w:rPr>
          <w:rFonts w:hint="eastAsia" w:ascii="仿宋" w:hAnsi="仿宋" w:eastAsia="仿宋" w:cs="仿宋"/>
          <w:color w:val="333333"/>
          <w:sz w:val="32"/>
          <w:szCs w:val="32"/>
        </w:rPr>
      </w:pPr>
      <w:r>
        <w:rPr>
          <w:rStyle w:val="11"/>
          <w:rFonts w:hint="eastAsia" w:ascii="仿宋" w:hAnsi="仿宋" w:eastAsia="仿宋" w:cs="仿宋"/>
          <w:color w:val="000000"/>
          <w:sz w:val="32"/>
          <w:szCs w:val="32"/>
        </w:rPr>
        <w:t>二、评奖时限与等次</w:t>
      </w:r>
    </w:p>
    <w:p w14:paraId="68F1987F">
      <w:pPr>
        <w:pStyle w:val="7"/>
        <w:widowControl/>
        <w:spacing w:beforeAutospacing="0" w:afterAutospacing="0" w:line="360" w:lineRule="auto"/>
        <w:ind w:firstLine="482"/>
        <w:jc w:val="both"/>
        <w:rPr>
          <w:rFonts w:hint="eastAsia" w:ascii="仿宋" w:hAnsi="仿宋" w:eastAsia="仿宋" w:cs="仿宋"/>
          <w:bCs/>
          <w:color w:val="000000"/>
          <w:sz w:val="32"/>
          <w:szCs w:val="32"/>
        </w:rPr>
      </w:pP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sz w:val="32"/>
          <w:szCs w:val="32"/>
        </w:rPr>
        <w:t>一）一年级硕士研究生不设等次。</w:t>
      </w:r>
    </w:p>
    <w:p w14:paraId="2E740DA3">
      <w:pPr>
        <w:pStyle w:val="7"/>
        <w:widowControl/>
        <w:spacing w:beforeAutospacing="0" w:afterAutospacing="0" w:line="360" w:lineRule="auto"/>
        <w:ind w:firstLine="482"/>
        <w:jc w:val="both"/>
        <w:rPr>
          <w:rFonts w:hint="eastAsia" w:ascii="仿宋" w:hAnsi="仿宋" w:eastAsia="仿宋" w:cs="仿宋"/>
          <w:bCs/>
          <w:color w:val="000000"/>
          <w:sz w:val="32"/>
          <w:szCs w:val="32"/>
        </w:rPr>
      </w:pPr>
      <w:r>
        <w:rPr>
          <w:rFonts w:hint="eastAsia" w:ascii="仿宋" w:hAnsi="仿宋" w:eastAsia="仿宋" w:cs="仿宋"/>
          <w:bCs/>
          <w:color w:val="000000"/>
          <w:sz w:val="32"/>
          <w:szCs w:val="32"/>
        </w:rPr>
        <w:t>（二）根据研究生三年学制，二、三年级硕士研究生学业奖学金每学年评定一次，每位硕士研究生在读期间根据上一学年学业情况共可以参加两次评定。</w:t>
      </w:r>
    </w:p>
    <w:p w14:paraId="50517FDD">
      <w:pPr>
        <w:pStyle w:val="7"/>
        <w:widowControl/>
        <w:spacing w:beforeAutospacing="0" w:afterAutospacing="0" w:line="360" w:lineRule="auto"/>
        <w:ind w:firstLine="482"/>
        <w:jc w:val="both"/>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三</w:t>
      </w:r>
      <w:r>
        <w:rPr>
          <w:rFonts w:hint="eastAsia" w:ascii="仿宋" w:hAnsi="仿宋" w:eastAsia="仿宋" w:cs="仿宋"/>
          <w:bCs/>
          <w:color w:val="000000"/>
          <w:sz w:val="32"/>
          <w:szCs w:val="32"/>
          <w:lang w:eastAsia="zh-CN"/>
        </w:rPr>
        <w:t>）</w:t>
      </w:r>
      <w:r>
        <w:rPr>
          <w:rFonts w:hint="default" w:ascii="仿宋" w:hAnsi="仿宋" w:eastAsia="仿宋" w:cs="仿宋"/>
          <w:bCs/>
          <w:color w:val="000000"/>
          <w:sz w:val="32"/>
          <w:szCs w:val="32"/>
        </w:rPr>
        <w:t>根据《上海戏剧学院研究生学业奖学金评审办法（2025年修订）》规定：202</w:t>
      </w:r>
      <w:r>
        <w:rPr>
          <w:rFonts w:hint="default" w:ascii="仿宋" w:hAnsi="仿宋" w:eastAsia="仿宋" w:cs="仿宋"/>
          <w:bCs/>
          <w:color w:val="000000"/>
          <w:sz w:val="32"/>
          <w:szCs w:val="32"/>
          <w:lang w:val="en-US" w:eastAsia="zh-CN"/>
        </w:rPr>
        <w:t>5</w:t>
      </w:r>
      <w:r>
        <w:rPr>
          <w:rFonts w:hint="default" w:ascii="仿宋" w:hAnsi="仿宋" w:eastAsia="仿宋" w:cs="仿宋"/>
          <w:bCs/>
          <w:color w:val="000000"/>
          <w:sz w:val="32"/>
          <w:szCs w:val="32"/>
        </w:rPr>
        <w:t>级新生学业奖学金评定不设等次，按照每生8000元标准资助，无需申报；</w:t>
      </w:r>
      <w:r>
        <w:rPr>
          <w:rFonts w:hint="eastAsia" w:ascii="仿宋" w:hAnsi="仿宋" w:eastAsia="仿宋" w:cs="仿宋"/>
          <w:bCs/>
          <w:color w:val="000000"/>
          <w:sz w:val="32"/>
          <w:szCs w:val="32"/>
          <w:lang w:val="en-US" w:eastAsia="zh-CN"/>
        </w:rPr>
        <w:t>符合申报条件的</w:t>
      </w:r>
      <w:r>
        <w:rPr>
          <w:rFonts w:hint="default" w:ascii="仿宋" w:hAnsi="仿宋" w:eastAsia="仿宋" w:cs="仿宋"/>
          <w:bCs/>
          <w:color w:val="000000"/>
          <w:sz w:val="32"/>
          <w:szCs w:val="32"/>
        </w:rPr>
        <w:t>老生</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全日制非定向）</w:t>
      </w:r>
      <w:r>
        <w:rPr>
          <w:rFonts w:hint="default" w:ascii="仿宋" w:hAnsi="仿宋" w:eastAsia="仿宋" w:cs="仿宋"/>
          <w:bCs/>
          <w:color w:val="000000"/>
          <w:sz w:val="32"/>
          <w:szCs w:val="32"/>
        </w:rPr>
        <w:t>采取申报制，202</w:t>
      </w:r>
      <w:r>
        <w:rPr>
          <w:rFonts w:hint="default" w:ascii="仿宋" w:hAnsi="仿宋" w:eastAsia="仿宋" w:cs="仿宋"/>
          <w:bCs/>
          <w:color w:val="000000"/>
          <w:sz w:val="32"/>
          <w:szCs w:val="32"/>
          <w:lang w:val="en-US" w:eastAsia="zh-CN"/>
        </w:rPr>
        <w:t>5</w:t>
      </w:r>
      <w:r>
        <w:rPr>
          <w:rFonts w:hint="default" w:ascii="仿宋" w:hAnsi="仿宋" w:eastAsia="仿宋" w:cs="仿宋"/>
          <w:bCs/>
          <w:color w:val="000000"/>
          <w:sz w:val="32"/>
          <w:szCs w:val="32"/>
        </w:rPr>
        <w:t>年学业奖学金分为一等奖学金10000元、二等奖学金8000元、三等奖学金6000元，学制内高年级符合条件的研究生，各院系得奖名额分别按照各院系符合申报条件硕士研究生总人数</w:t>
      </w:r>
      <w:r>
        <w:rPr>
          <w:rFonts w:hint="eastAsia" w:ascii="仿宋" w:hAnsi="仿宋" w:eastAsia="仿宋" w:cs="仿宋"/>
          <w:bCs/>
          <w:color w:val="000000"/>
          <w:sz w:val="32"/>
          <w:szCs w:val="32"/>
          <w:lang w:val="en-US" w:eastAsia="zh-CN"/>
        </w:rPr>
        <w:t>*</w:t>
      </w:r>
      <w:r>
        <w:rPr>
          <w:rFonts w:hint="default" w:ascii="仿宋" w:hAnsi="仿宋" w:eastAsia="仿宋" w:cs="仿宋"/>
          <w:bCs/>
          <w:color w:val="000000"/>
          <w:sz w:val="32"/>
          <w:szCs w:val="32"/>
        </w:rPr>
        <w:t>的1</w:t>
      </w:r>
      <w:r>
        <w:rPr>
          <w:rFonts w:hint="default" w:ascii="仿宋" w:hAnsi="仿宋" w:eastAsia="仿宋" w:cs="仿宋"/>
          <w:bCs/>
          <w:color w:val="000000"/>
          <w:sz w:val="32"/>
          <w:szCs w:val="32"/>
          <w:lang w:val="en-US" w:eastAsia="zh-CN"/>
        </w:rPr>
        <w:t>0</w:t>
      </w:r>
      <w:r>
        <w:rPr>
          <w:rFonts w:hint="default" w:ascii="仿宋" w:hAnsi="仿宋" w:eastAsia="仿宋" w:cs="仿宋"/>
          <w:bCs/>
          <w:color w:val="000000"/>
          <w:sz w:val="32"/>
          <w:szCs w:val="32"/>
        </w:rPr>
        <w:t>%、25%和3</w:t>
      </w:r>
      <w:r>
        <w:rPr>
          <w:rFonts w:hint="default" w:ascii="仿宋" w:hAnsi="仿宋" w:eastAsia="仿宋" w:cs="仿宋"/>
          <w:bCs/>
          <w:color w:val="000000"/>
          <w:sz w:val="32"/>
          <w:szCs w:val="32"/>
          <w:lang w:val="en-US" w:eastAsia="zh-CN"/>
        </w:rPr>
        <w:t>5</w:t>
      </w:r>
      <w:r>
        <w:rPr>
          <w:rFonts w:hint="default" w:ascii="仿宋" w:hAnsi="仿宋" w:eastAsia="仿宋" w:cs="仿宋"/>
          <w:bCs/>
          <w:color w:val="000000"/>
          <w:sz w:val="32"/>
          <w:szCs w:val="32"/>
        </w:rPr>
        <w:t>%。</w:t>
      </w:r>
      <w:r>
        <w:rPr>
          <w:rFonts w:hint="default" w:ascii="仿宋" w:hAnsi="仿宋" w:eastAsia="仿宋" w:cs="仿宋"/>
          <w:bCs/>
          <w:color w:val="000000"/>
          <w:sz w:val="32"/>
          <w:szCs w:val="32"/>
          <w:lang w:val="en-US" w:eastAsia="zh-CN"/>
        </w:rPr>
        <w:t>硕士国家奖学金候选人不在</w:t>
      </w:r>
      <w:r>
        <w:rPr>
          <w:rFonts w:hint="default" w:ascii="仿宋" w:hAnsi="仿宋" w:eastAsia="仿宋" w:cs="仿宋"/>
          <w:bCs/>
          <w:color w:val="000000"/>
          <w:sz w:val="32"/>
          <w:szCs w:val="32"/>
        </w:rPr>
        <w:t>硕士研究生学业奖学金</w:t>
      </w:r>
      <w:r>
        <w:rPr>
          <w:rFonts w:hint="default" w:ascii="仿宋" w:hAnsi="仿宋" w:eastAsia="仿宋" w:cs="仿宋"/>
          <w:bCs/>
          <w:color w:val="000000"/>
          <w:sz w:val="32"/>
          <w:szCs w:val="32"/>
          <w:lang w:val="en-US" w:eastAsia="zh-CN"/>
        </w:rPr>
        <w:t>参评学生范围内。</w:t>
      </w:r>
    </w:p>
    <w:p w14:paraId="50DAF800">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四</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所有获奖材料和发表论文情况须为202</w:t>
      </w:r>
      <w:r>
        <w:rPr>
          <w:rFonts w:hint="eastAsia" w:ascii="仿宋" w:hAnsi="仿宋" w:eastAsia="仿宋" w:cs="仿宋"/>
          <w:color w:val="FF0000"/>
          <w:sz w:val="32"/>
          <w:szCs w:val="32"/>
          <w:lang w:val="en-US" w:eastAsia="zh-CN"/>
        </w:rPr>
        <w:t>4-2025</w:t>
      </w:r>
      <w:r>
        <w:rPr>
          <w:rFonts w:hint="eastAsia" w:ascii="仿宋" w:hAnsi="仿宋" w:eastAsia="仿宋" w:cs="仿宋"/>
          <w:color w:val="FF0000"/>
          <w:sz w:val="32"/>
          <w:szCs w:val="32"/>
        </w:rPr>
        <w:t>学年期间未参评过学业奖学金的材料</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且必须署名</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上海戏剧学院硕士</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身份。</w:t>
      </w:r>
    </w:p>
    <w:p w14:paraId="40662AA3">
      <w:pPr>
        <w:pStyle w:val="7"/>
        <w:widowControl/>
        <w:spacing w:beforeAutospacing="0" w:afterAutospacing="0" w:line="360" w:lineRule="auto"/>
        <w:jc w:val="both"/>
        <w:rPr>
          <w:rFonts w:hint="eastAsia" w:ascii="仿宋" w:hAnsi="仿宋" w:eastAsia="仿宋" w:cs="仿宋"/>
          <w:color w:val="333333"/>
          <w:sz w:val="32"/>
          <w:szCs w:val="32"/>
        </w:rPr>
      </w:pPr>
      <w:r>
        <w:rPr>
          <w:rStyle w:val="11"/>
          <w:rFonts w:hint="eastAsia" w:ascii="仿宋" w:hAnsi="仿宋" w:eastAsia="仿宋" w:cs="仿宋"/>
          <w:color w:val="000000"/>
          <w:sz w:val="32"/>
          <w:szCs w:val="32"/>
        </w:rPr>
        <w:t>三、评定基本条件</w:t>
      </w:r>
    </w:p>
    <w:p w14:paraId="2A7E8289">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（一）热爱社会主义祖国，拥护中国共产党的领导；</w:t>
      </w:r>
    </w:p>
    <w:p w14:paraId="52629B02">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（二）遵守国家有关法律和学校的规章制度，无违纪违法记录；</w:t>
      </w:r>
    </w:p>
    <w:p w14:paraId="2BE18261">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（三）勤奋学习，努力掌握专业知识，各门课程学习成绩优秀；</w:t>
      </w:r>
    </w:p>
    <w:p w14:paraId="0553973D">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rPr>
        <w:t>（四）热爱集体，品德优良，积极参加各类研究生集体活动和社会实践活动。</w:t>
      </w:r>
    </w:p>
    <w:p w14:paraId="6C9D45FF">
      <w:pPr>
        <w:pStyle w:val="7"/>
        <w:widowControl/>
        <w:spacing w:beforeAutospacing="0" w:afterAutospacing="0" w:line="360" w:lineRule="auto"/>
        <w:ind w:firstLine="320" w:firstLineChars="100"/>
        <w:jc w:val="both"/>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yellow"/>
          <w14:textFill>
            <w14:solidFill>
              <w14:schemeClr w14:val="tx1"/>
            </w14:solidFill>
          </w14:textFill>
        </w:rPr>
        <w:t>（五）规定学年内评选一等奖的硕士研究生每门课成绩均须达到80分（含）以上，评定二、三、等奖的硕士研究生每门课成绩均须达到75分（含）以上。</w:t>
      </w:r>
    </w:p>
    <w:p w14:paraId="04829E23">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（六）申请时必须已经按学校规定完成缴费义务且正常注册并取得学籍； </w:t>
      </w:r>
    </w:p>
    <w:p w14:paraId="097665FD">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（七）研究生在参评学年有下列情况之一者，原则上不具备本学年学业奖学金评定资格： </w:t>
      </w:r>
    </w:p>
    <w:p w14:paraId="0356FFDE">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default" w:ascii="仿宋" w:hAnsi="仿宋" w:eastAsia="仿宋" w:cs="仿宋"/>
          <w:color w:val="000000"/>
          <w:sz w:val="32"/>
          <w:szCs w:val="32"/>
          <w:lang w:val="en-US" w:eastAsia="zh-CN"/>
        </w:rPr>
        <w:t>1.</w:t>
      </w:r>
      <w:r>
        <w:rPr>
          <w:rFonts w:hint="eastAsia" w:ascii="仿宋" w:hAnsi="仿宋" w:eastAsia="仿宋" w:cs="仿宋"/>
          <w:color w:val="000000"/>
          <w:sz w:val="32"/>
          <w:szCs w:val="32"/>
          <w:lang w:val="en-US" w:eastAsia="zh-CN"/>
        </w:rPr>
        <w:t xml:space="preserve">参评学年违反国家法律、校纪校规受到纪律处分者； </w:t>
      </w:r>
    </w:p>
    <w:p w14:paraId="510A2FAA">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default" w:ascii="仿宋" w:hAnsi="仿宋" w:eastAsia="仿宋" w:cs="仿宋"/>
          <w:color w:val="000000"/>
          <w:sz w:val="32"/>
          <w:szCs w:val="32"/>
          <w:lang w:val="en-US" w:eastAsia="zh-CN"/>
        </w:rPr>
        <w:t>2.</w:t>
      </w:r>
      <w:r>
        <w:rPr>
          <w:rFonts w:hint="eastAsia" w:ascii="仿宋" w:hAnsi="仿宋" w:eastAsia="仿宋" w:cs="仿宋"/>
          <w:color w:val="000000"/>
          <w:sz w:val="32"/>
          <w:szCs w:val="32"/>
          <w:lang w:val="en-US" w:eastAsia="zh-CN"/>
        </w:rPr>
        <w:t xml:space="preserve">参评学年有抄袭剽窃、弄虚作假等学术不端行为经查证属实的； </w:t>
      </w:r>
    </w:p>
    <w:p w14:paraId="6DB5248B">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default" w:ascii="仿宋" w:hAnsi="仿宋" w:eastAsia="仿宋" w:cs="仿宋"/>
          <w:color w:val="000000"/>
          <w:sz w:val="32"/>
          <w:szCs w:val="32"/>
          <w:lang w:val="en-US" w:eastAsia="zh-CN"/>
        </w:rPr>
        <w:t>3.</w:t>
      </w:r>
      <w:r>
        <w:rPr>
          <w:rFonts w:hint="eastAsia" w:ascii="仿宋" w:hAnsi="仿宋" w:eastAsia="仿宋" w:cs="仿宋"/>
          <w:color w:val="000000"/>
          <w:sz w:val="32"/>
          <w:szCs w:val="32"/>
          <w:lang w:val="en-US" w:eastAsia="zh-CN"/>
        </w:rPr>
        <w:t xml:space="preserve">参评学年学籍状态处于休学、保留学籍者； </w:t>
      </w:r>
    </w:p>
    <w:p w14:paraId="28D8C867">
      <w:pPr>
        <w:pStyle w:val="7"/>
        <w:widowControl/>
        <w:spacing w:beforeAutospacing="0" w:afterAutospacing="0" w:line="360" w:lineRule="auto"/>
        <w:ind w:firstLine="320" w:firstLineChars="100"/>
        <w:jc w:val="both"/>
        <w:rPr>
          <w:rStyle w:val="11"/>
          <w:rFonts w:hint="eastAsia" w:ascii="仿宋" w:hAnsi="仿宋" w:eastAsia="仿宋" w:cs="仿宋"/>
          <w:color w:val="000000"/>
          <w:kern w:val="2"/>
          <w:sz w:val="32"/>
          <w:szCs w:val="32"/>
        </w:rPr>
      </w:pPr>
      <w:r>
        <w:rPr>
          <w:rFonts w:hint="default" w:ascii="仿宋" w:hAnsi="仿宋" w:eastAsia="仿宋" w:cs="仿宋"/>
          <w:color w:val="000000"/>
          <w:sz w:val="32"/>
          <w:szCs w:val="32"/>
          <w:lang w:val="en-US" w:eastAsia="zh-CN"/>
        </w:rPr>
        <w:t>4.</w:t>
      </w:r>
      <w:r>
        <w:rPr>
          <w:rFonts w:hint="eastAsia" w:ascii="仿宋" w:hAnsi="仿宋" w:eastAsia="仿宋" w:cs="仿宋"/>
          <w:color w:val="000000"/>
          <w:sz w:val="32"/>
          <w:szCs w:val="32"/>
          <w:lang w:val="en-US" w:eastAsia="zh-CN"/>
        </w:rPr>
        <w:t>研究生所在培养单位评审委员会讨论后认为应取消评定资格者。</w:t>
      </w:r>
    </w:p>
    <w:p w14:paraId="322381AE">
      <w:pPr>
        <w:pStyle w:val="7"/>
        <w:widowControl/>
        <w:spacing w:beforeAutospacing="0" w:afterAutospacing="0" w:line="360" w:lineRule="auto"/>
        <w:jc w:val="both"/>
        <w:rPr>
          <w:rStyle w:val="11"/>
          <w:rFonts w:hint="eastAsia" w:ascii="仿宋" w:hAnsi="仿宋" w:eastAsia="仿宋" w:cs="仿宋"/>
          <w:color w:val="FF0000"/>
          <w:sz w:val="28"/>
          <w:szCs w:val="28"/>
        </w:rPr>
      </w:pPr>
      <w:r>
        <w:rPr>
          <w:rStyle w:val="11"/>
          <w:rFonts w:hint="eastAsia" w:ascii="仿宋" w:hAnsi="仿宋" w:eastAsia="仿宋" w:cs="仿宋"/>
          <w:color w:val="FF0000"/>
          <w:sz w:val="28"/>
          <w:szCs w:val="28"/>
        </w:rPr>
        <w:t>硕士研究生学业奖学金综合评定方式</w:t>
      </w:r>
    </w:p>
    <w:tbl>
      <w:tblPr>
        <w:tblStyle w:val="9"/>
        <w:tblW w:w="7365"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3030"/>
        <w:gridCol w:w="2160"/>
      </w:tblGrid>
      <w:tr w14:paraId="731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5351172C">
            <w:pPr>
              <w:pStyle w:val="7"/>
              <w:widowControl/>
              <w:spacing w:beforeAutospacing="0" w:afterAutospacing="0" w:line="360" w:lineRule="auto"/>
              <w:jc w:val="center"/>
              <w:rPr>
                <w:rStyle w:val="11"/>
                <w:rFonts w:hint="eastAsia" w:ascii="仿宋" w:hAnsi="仿宋" w:eastAsia="仿宋" w:cs="仿宋"/>
                <w:color w:val="FF0000"/>
                <w:sz w:val="28"/>
                <w:szCs w:val="28"/>
              </w:rPr>
            </w:pPr>
            <w:r>
              <w:rPr>
                <w:rStyle w:val="11"/>
                <w:rFonts w:hint="eastAsia" w:ascii="仿宋" w:hAnsi="仿宋" w:eastAsia="仿宋" w:cs="仿宋"/>
                <w:color w:val="FF0000"/>
                <w:sz w:val="28"/>
                <w:szCs w:val="28"/>
              </w:rPr>
              <w:t>课程成绩</w:t>
            </w:r>
          </w:p>
        </w:tc>
        <w:tc>
          <w:tcPr>
            <w:tcW w:w="3030" w:type="dxa"/>
          </w:tcPr>
          <w:p w14:paraId="29BE2CBB">
            <w:pPr>
              <w:pStyle w:val="7"/>
              <w:widowControl/>
              <w:spacing w:beforeAutospacing="0" w:afterAutospacing="0" w:line="360" w:lineRule="auto"/>
              <w:jc w:val="center"/>
              <w:rPr>
                <w:rStyle w:val="11"/>
                <w:rFonts w:hint="eastAsia" w:ascii="仿宋" w:hAnsi="仿宋" w:eastAsia="仿宋" w:cs="仿宋"/>
                <w:color w:val="FF0000"/>
                <w:sz w:val="28"/>
                <w:szCs w:val="28"/>
              </w:rPr>
            </w:pPr>
            <w:r>
              <w:rPr>
                <w:rStyle w:val="11"/>
                <w:rFonts w:hint="eastAsia" w:ascii="仿宋" w:hAnsi="仿宋" w:eastAsia="仿宋" w:cs="仿宋"/>
                <w:color w:val="FF0000"/>
                <w:sz w:val="28"/>
                <w:szCs w:val="28"/>
              </w:rPr>
              <w:t>科研创作成果</w:t>
            </w:r>
          </w:p>
        </w:tc>
        <w:tc>
          <w:tcPr>
            <w:tcW w:w="2160" w:type="dxa"/>
          </w:tcPr>
          <w:p w14:paraId="4C81276D">
            <w:pPr>
              <w:pStyle w:val="7"/>
              <w:widowControl/>
              <w:spacing w:beforeAutospacing="0" w:afterAutospacing="0" w:line="360" w:lineRule="auto"/>
              <w:jc w:val="center"/>
              <w:rPr>
                <w:rStyle w:val="11"/>
                <w:rFonts w:hint="eastAsia" w:ascii="仿宋" w:hAnsi="仿宋" w:eastAsia="仿宋" w:cs="仿宋"/>
                <w:color w:val="FF0000"/>
                <w:sz w:val="28"/>
                <w:szCs w:val="28"/>
              </w:rPr>
            </w:pPr>
            <w:r>
              <w:rPr>
                <w:rStyle w:val="11"/>
                <w:rFonts w:hint="eastAsia" w:ascii="仿宋" w:hAnsi="仿宋" w:eastAsia="仿宋" w:cs="仿宋"/>
                <w:color w:val="FF0000"/>
                <w:sz w:val="28"/>
                <w:szCs w:val="28"/>
              </w:rPr>
              <w:t>平时表现</w:t>
            </w:r>
          </w:p>
        </w:tc>
      </w:tr>
      <w:tr w14:paraId="671B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1888F591">
            <w:pPr>
              <w:pStyle w:val="7"/>
              <w:widowControl/>
              <w:spacing w:beforeAutospacing="0" w:afterAutospacing="0" w:line="360" w:lineRule="auto"/>
              <w:jc w:val="center"/>
              <w:rPr>
                <w:rStyle w:val="11"/>
                <w:rFonts w:hint="eastAsia" w:ascii="仿宋" w:hAnsi="仿宋" w:eastAsia="仿宋" w:cs="仿宋"/>
                <w:b w:val="0"/>
                <w:bCs/>
                <w:color w:val="FF0000"/>
                <w:sz w:val="28"/>
                <w:szCs w:val="28"/>
              </w:rPr>
            </w:pPr>
            <w:r>
              <w:rPr>
                <w:rStyle w:val="11"/>
                <w:rFonts w:hint="eastAsia" w:ascii="仿宋" w:hAnsi="仿宋" w:eastAsia="仿宋" w:cs="仿宋"/>
                <w:b w:val="0"/>
                <w:bCs/>
                <w:color w:val="FF0000"/>
                <w:sz w:val="28"/>
                <w:szCs w:val="28"/>
                <w:lang w:val="en-US" w:eastAsia="zh-CN"/>
              </w:rPr>
              <w:t>35</w:t>
            </w:r>
            <w:r>
              <w:rPr>
                <w:rStyle w:val="11"/>
                <w:rFonts w:hint="eastAsia" w:ascii="仿宋" w:hAnsi="仿宋" w:eastAsia="仿宋" w:cs="仿宋"/>
                <w:b w:val="0"/>
                <w:bCs/>
                <w:color w:val="FF0000"/>
                <w:sz w:val="28"/>
                <w:szCs w:val="28"/>
              </w:rPr>
              <w:t>%</w:t>
            </w:r>
          </w:p>
        </w:tc>
        <w:tc>
          <w:tcPr>
            <w:tcW w:w="3030" w:type="dxa"/>
          </w:tcPr>
          <w:p w14:paraId="3B7291B9">
            <w:pPr>
              <w:pStyle w:val="7"/>
              <w:widowControl/>
              <w:spacing w:beforeAutospacing="0" w:afterAutospacing="0" w:line="360" w:lineRule="auto"/>
              <w:jc w:val="center"/>
              <w:rPr>
                <w:rStyle w:val="11"/>
                <w:rFonts w:hint="eastAsia" w:ascii="仿宋" w:hAnsi="仿宋" w:eastAsia="仿宋" w:cs="仿宋"/>
                <w:b w:val="0"/>
                <w:bCs/>
                <w:color w:val="FF0000"/>
                <w:sz w:val="28"/>
                <w:szCs w:val="28"/>
              </w:rPr>
            </w:pPr>
            <w:r>
              <w:rPr>
                <w:rStyle w:val="11"/>
                <w:rFonts w:hint="eastAsia" w:ascii="仿宋" w:hAnsi="仿宋" w:eastAsia="仿宋" w:cs="仿宋"/>
                <w:b w:val="0"/>
                <w:bCs/>
                <w:color w:val="FF0000"/>
                <w:sz w:val="28"/>
                <w:szCs w:val="28"/>
                <w:lang w:val="en-US" w:eastAsia="zh-CN"/>
              </w:rPr>
              <w:t>35</w:t>
            </w:r>
            <w:r>
              <w:rPr>
                <w:rStyle w:val="11"/>
                <w:rFonts w:hint="eastAsia" w:ascii="仿宋" w:hAnsi="仿宋" w:eastAsia="仿宋" w:cs="仿宋"/>
                <w:b w:val="0"/>
                <w:bCs/>
                <w:color w:val="FF0000"/>
                <w:sz w:val="28"/>
                <w:szCs w:val="28"/>
              </w:rPr>
              <w:t>%</w:t>
            </w:r>
          </w:p>
        </w:tc>
        <w:tc>
          <w:tcPr>
            <w:tcW w:w="2160" w:type="dxa"/>
          </w:tcPr>
          <w:p w14:paraId="55ECFD32">
            <w:pPr>
              <w:pStyle w:val="7"/>
              <w:widowControl/>
              <w:spacing w:beforeAutospacing="0" w:afterAutospacing="0" w:line="360" w:lineRule="auto"/>
              <w:jc w:val="center"/>
              <w:rPr>
                <w:rStyle w:val="11"/>
                <w:rFonts w:hint="eastAsia" w:ascii="仿宋" w:hAnsi="仿宋" w:eastAsia="仿宋" w:cs="仿宋"/>
                <w:b w:val="0"/>
                <w:bCs/>
                <w:color w:val="FF0000"/>
                <w:sz w:val="28"/>
                <w:szCs w:val="28"/>
              </w:rPr>
            </w:pPr>
            <w:r>
              <w:rPr>
                <w:rStyle w:val="11"/>
                <w:rFonts w:hint="eastAsia" w:ascii="仿宋" w:hAnsi="仿宋" w:eastAsia="仿宋" w:cs="仿宋"/>
                <w:b w:val="0"/>
                <w:bCs/>
                <w:color w:val="FF0000"/>
                <w:sz w:val="28"/>
                <w:szCs w:val="28"/>
              </w:rPr>
              <w:t>30%</w:t>
            </w:r>
          </w:p>
        </w:tc>
      </w:tr>
    </w:tbl>
    <w:p w14:paraId="5F534E59">
      <w:pPr>
        <w:pStyle w:val="7"/>
        <w:widowControl/>
        <w:spacing w:beforeAutospacing="0" w:afterAutospacing="0" w:line="360" w:lineRule="auto"/>
        <w:jc w:val="both"/>
        <w:rPr>
          <w:rFonts w:hint="eastAsia" w:ascii="仿宋" w:hAnsi="仿宋" w:eastAsia="仿宋" w:cs="仿宋"/>
          <w:color w:val="333333"/>
          <w:sz w:val="32"/>
          <w:szCs w:val="32"/>
        </w:rPr>
      </w:pPr>
      <w:r>
        <w:rPr>
          <w:rFonts w:hint="eastAsia" w:ascii="仿宋" w:hAnsi="仿宋" w:eastAsia="仿宋" w:cs="仿宋"/>
          <w:color w:val="000000"/>
          <w:sz w:val="32"/>
          <w:szCs w:val="32"/>
        </w:rPr>
        <w:t>（一）课程成绩计算办法（每门100分）</w:t>
      </w:r>
    </w:p>
    <w:p w14:paraId="604A0CDB">
      <w:pPr>
        <w:pStyle w:val="7"/>
        <w:widowControl/>
        <w:numPr>
          <w:ilvl w:val="255"/>
          <w:numId w:val="0"/>
        </w:numPr>
        <w:spacing w:beforeAutospacing="0" w:afterAutospacing="0" w:line="360" w:lineRule="auto"/>
        <w:ind w:left="199" w:leftChars="95" w:firstLine="412" w:firstLineChars="129"/>
        <w:jc w:val="both"/>
        <w:rPr>
          <w:rFonts w:hint="eastAsia" w:ascii="仿宋" w:hAnsi="仿宋" w:eastAsia="仿宋" w:cs="仿宋"/>
          <w:color w:val="000000"/>
          <w:sz w:val="32"/>
          <w:szCs w:val="32"/>
        </w:rPr>
      </w:pPr>
      <w:r>
        <w:rPr>
          <w:rFonts w:hint="eastAsia" w:ascii="仿宋" w:hAnsi="仿宋" w:eastAsia="仿宋" w:cs="仿宋"/>
          <w:color w:val="000000"/>
          <w:sz w:val="32"/>
          <w:szCs w:val="32"/>
        </w:rPr>
        <w:t>1.课程成绩得分=（公共必修课成绩+专业基础</w:t>
      </w:r>
      <w:r>
        <w:rPr>
          <w:rFonts w:hint="eastAsia" w:ascii="仿宋" w:hAnsi="仿宋" w:eastAsia="仿宋" w:cs="仿宋"/>
          <w:color w:val="000000"/>
          <w:sz w:val="32"/>
          <w:szCs w:val="32"/>
          <w:lang w:val="en-US" w:eastAsia="zh-CN"/>
        </w:rPr>
        <w:t>/专业理论</w:t>
      </w:r>
      <w:r>
        <w:rPr>
          <w:rFonts w:hint="eastAsia" w:ascii="仿宋" w:hAnsi="仿宋" w:eastAsia="仿宋" w:cs="仿宋"/>
          <w:color w:val="000000"/>
          <w:sz w:val="32"/>
          <w:szCs w:val="32"/>
        </w:rPr>
        <w:t>课成绩+专业</w:t>
      </w:r>
      <w:r>
        <w:rPr>
          <w:rFonts w:hint="eastAsia" w:ascii="仿宋" w:hAnsi="仿宋" w:eastAsia="仿宋" w:cs="仿宋"/>
          <w:color w:val="000000"/>
          <w:sz w:val="32"/>
          <w:szCs w:val="32"/>
          <w:lang w:val="en-US" w:eastAsia="zh-CN"/>
        </w:rPr>
        <w:t>课/实践</w:t>
      </w:r>
      <w:r>
        <w:rPr>
          <w:rFonts w:hint="eastAsia" w:ascii="仿宋" w:hAnsi="仿宋" w:eastAsia="仿宋" w:cs="仿宋"/>
          <w:color w:val="000000"/>
          <w:sz w:val="32"/>
          <w:szCs w:val="32"/>
        </w:rPr>
        <w:t>课成绩）/门数（每门课程按满分100分计，不包括选修课程；参评课程成绩以课表安排为准，每位研究生每次参评的课程不能重复）。</w:t>
      </w:r>
    </w:p>
    <w:p w14:paraId="22563B23">
      <w:pPr>
        <w:pStyle w:val="7"/>
        <w:widowControl/>
        <w:numPr>
          <w:ilvl w:val="255"/>
          <w:numId w:val="0"/>
        </w:numPr>
        <w:spacing w:beforeAutospacing="0" w:afterAutospacing="0" w:line="360" w:lineRule="auto"/>
        <w:ind w:left="199" w:leftChars="95" w:firstLine="412" w:firstLineChars="129"/>
        <w:jc w:val="both"/>
        <w:rPr>
          <w:rFonts w:hint="eastAsia" w:ascii="仿宋" w:hAnsi="仿宋" w:eastAsia="仿宋" w:cs="仿宋"/>
          <w:color w:val="000000"/>
          <w:sz w:val="32"/>
          <w:szCs w:val="32"/>
        </w:rPr>
      </w:pPr>
    </w:p>
    <w:p w14:paraId="29283677">
      <w:pPr>
        <w:pStyle w:val="7"/>
        <w:widowControl/>
        <w:numPr>
          <w:ilvl w:val="255"/>
          <w:numId w:val="0"/>
        </w:numPr>
        <w:spacing w:beforeAutospacing="0" w:afterAutospacing="0" w:line="360" w:lineRule="auto"/>
        <w:ind w:left="199" w:leftChars="95" w:firstLine="412" w:firstLineChars="129"/>
        <w:jc w:val="both"/>
        <w:rPr>
          <w:rFonts w:hint="eastAsia" w:ascii="仿宋" w:hAnsi="仿宋" w:eastAsia="仿宋" w:cs="仿宋"/>
          <w:color w:val="000000"/>
          <w:sz w:val="32"/>
          <w:szCs w:val="32"/>
        </w:rPr>
      </w:pPr>
    </w:p>
    <w:tbl>
      <w:tblPr>
        <w:tblStyle w:val="9"/>
        <w:tblpPr w:leftFromText="180" w:rightFromText="180" w:vertAnchor="text" w:horzAnchor="page" w:tblpX="2001" w:tblpY="1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2880"/>
        <w:gridCol w:w="1184"/>
        <w:gridCol w:w="2158"/>
      </w:tblGrid>
      <w:tr w14:paraId="7C5B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2F757483">
            <w:pPr>
              <w:spacing w:line="360" w:lineRule="auto"/>
              <w:jc w:val="center"/>
              <w:rPr>
                <w:rFonts w:hint="eastAsia" w:ascii="仿宋" w:hAnsi="仿宋" w:eastAsia="仿宋" w:cs="仿宋"/>
                <w:sz w:val="24"/>
                <w:szCs w:val="24"/>
              </w:rPr>
            </w:pPr>
            <w:r>
              <w:rPr>
                <w:rFonts w:hint="eastAsia" w:ascii="仿宋" w:hAnsi="仿宋" w:eastAsia="仿宋" w:cs="仿宋"/>
                <w:b/>
                <w:bCs/>
                <w:color w:val="000000"/>
                <w:kern w:val="0"/>
                <w:sz w:val="24"/>
                <w:szCs w:val="24"/>
                <w:shd w:val="clear" w:color="auto" w:fill="FFFFFF"/>
                <w:lang w:bidi="ar"/>
              </w:rPr>
              <w:t>实习单位</w:t>
            </w:r>
          </w:p>
          <w:p w14:paraId="2B3B5184">
            <w:pPr>
              <w:widowControl/>
              <w:spacing w:line="360" w:lineRule="auto"/>
              <w:jc w:val="center"/>
              <w:rPr>
                <w:rFonts w:hint="eastAsia" w:ascii="仿宋" w:hAnsi="仿宋" w:eastAsia="仿宋" w:cs="仿宋"/>
                <w:b/>
                <w:bCs/>
                <w:sz w:val="24"/>
                <w:szCs w:val="24"/>
              </w:rPr>
            </w:pPr>
          </w:p>
        </w:tc>
        <w:tc>
          <w:tcPr>
            <w:tcW w:w="2880" w:type="dxa"/>
            <w:vAlign w:val="center"/>
          </w:tcPr>
          <w:p w14:paraId="147AA274">
            <w:pPr>
              <w:spacing w:line="360" w:lineRule="auto"/>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shd w:val="clear" w:color="auto" w:fill="FFFFFF"/>
                <w:lang w:bidi="ar"/>
              </w:rPr>
              <w:t>实习及学生管理系统实习报告登入情况</w:t>
            </w:r>
          </w:p>
        </w:tc>
        <w:tc>
          <w:tcPr>
            <w:tcW w:w="1184" w:type="dxa"/>
            <w:vAlign w:val="center"/>
          </w:tcPr>
          <w:p w14:paraId="25600477">
            <w:pPr>
              <w:spacing w:line="360" w:lineRule="auto"/>
              <w:jc w:val="center"/>
              <w:rPr>
                <w:rFonts w:hint="eastAsia" w:ascii="仿宋" w:hAnsi="仿宋" w:eastAsia="仿宋" w:cs="仿宋"/>
                <w:sz w:val="24"/>
                <w:szCs w:val="24"/>
              </w:rPr>
            </w:pPr>
            <w:r>
              <w:rPr>
                <w:rFonts w:hint="eastAsia" w:ascii="仿宋" w:hAnsi="仿宋" w:eastAsia="仿宋" w:cs="仿宋"/>
                <w:b/>
                <w:bCs/>
                <w:color w:val="000000"/>
                <w:kern w:val="0"/>
                <w:sz w:val="24"/>
                <w:szCs w:val="24"/>
                <w:shd w:val="clear" w:color="auto" w:fill="FFFFFF"/>
                <w:lang w:bidi="ar"/>
              </w:rPr>
              <w:t>分值</w:t>
            </w:r>
          </w:p>
          <w:p w14:paraId="5B04621C">
            <w:pPr>
              <w:widowControl/>
              <w:spacing w:line="360" w:lineRule="auto"/>
              <w:jc w:val="center"/>
              <w:rPr>
                <w:rFonts w:hint="eastAsia" w:ascii="仿宋" w:hAnsi="仿宋" w:eastAsia="仿宋" w:cs="仿宋"/>
                <w:b/>
                <w:bCs/>
                <w:sz w:val="24"/>
                <w:szCs w:val="24"/>
              </w:rPr>
            </w:pPr>
          </w:p>
        </w:tc>
        <w:tc>
          <w:tcPr>
            <w:tcW w:w="2158" w:type="dxa"/>
            <w:vAlign w:val="center"/>
          </w:tcPr>
          <w:p w14:paraId="43784414">
            <w:pPr>
              <w:spacing w:line="360" w:lineRule="auto"/>
              <w:jc w:val="center"/>
              <w:rPr>
                <w:rFonts w:hint="eastAsia" w:ascii="仿宋" w:hAnsi="仿宋" w:eastAsia="仿宋" w:cs="仿宋"/>
                <w:sz w:val="24"/>
                <w:szCs w:val="24"/>
              </w:rPr>
            </w:pPr>
            <w:r>
              <w:rPr>
                <w:rFonts w:hint="eastAsia" w:ascii="仿宋" w:hAnsi="仿宋" w:eastAsia="仿宋" w:cs="仿宋"/>
                <w:b/>
                <w:bCs/>
                <w:color w:val="000000"/>
                <w:kern w:val="0"/>
                <w:sz w:val="24"/>
                <w:szCs w:val="24"/>
                <w:shd w:val="clear" w:color="auto" w:fill="FFFFFF"/>
                <w:lang w:bidi="ar"/>
              </w:rPr>
              <w:t>是否为实践基地</w:t>
            </w:r>
          </w:p>
          <w:p w14:paraId="2CDB8EAC">
            <w:pPr>
              <w:widowControl/>
              <w:spacing w:line="360" w:lineRule="auto"/>
              <w:jc w:val="center"/>
              <w:rPr>
                <w:rFonts w:hint="eastAsia" w:ascii="仿宋" w:hAnsi="仿宋" w:eastAsia="仿宋" w:cs="仿宋"/>
                <w:b/>
                <w:bCs/>
                <w:sz w:val="24"/>
                <w:szCs w:val="24"/>
              </w:rPr>
            </w:pPr>
          </w:p>
        </w:tc>
      </w:tr>
      <w:tr w14:paraId="01FE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Merge w:val="restart"/>
          </w:tcPr>
          <w:p w14:paraId="60112CE0">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国家级院团；国家级电视台</w:t>
            </w:r>
          </w:p>
        </w:tc>
        <w:tc>
          <w:tcPr>
            <w:tcW w:w="2880" w:type="dxa"/>
          </w:tcPr>
          <w:p w14:paraId="5E0CDC8F">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在作品/项目中承担主要工作</w:t>
            </w:r>
          </w:p>
        </w:tc>
        <w:tc>
          <w:tcPr>
            <w:tcW w:w="1184" w:type="dxa"/>
          </w:tcPr>
          <w:p w14:paraId="351B73D0">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100</w:t>
            </w:r>
          </w:p>
        </w:tc>
        <w:tc>
          <w:tcPr>
            <w:tcW w:w="2158" w:type="dxa"/>
            <w:vMerge w:val="restart"/>
          </w:tcPr>
          <w:p w14:paraId="1DD39084">
            <w:pPr>
              <w:pStyle w:val="7"/>
              <w:widowControl/>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若为校级实习基地，在原有分数基础上加20分；若为院级实习基地，则在原有分数基础上加10分。</w:t>
            </w:r>
          </w:p>
        </w:tc>
      </w:tr>
      <w:tr w14:paraId="3FB0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00" w:type="dxa"/>
            <w:vMerge w:val="continue"/>
          </w:tcPr>
          <w:p w14:paraId="52E73BA8">
            <w:pPr>
              <w:pStyle w:val="7"/>
              <w:widowControl/>
              <w:spacing w:beforeAutospacing="0" w:afterAutospacing="0" w:line="360" w:lineRule="auto"/>
              <w:jc w:val="center"/>
              <w:rPr>
                <w:rFonts w:hint="eastAsia" w:ascii="仿宋" w:hAnsi="仿宋" w:eastAsia="仿宋" w:cs="仿宋"/>
                <w:color w:val="000000"/>
                <w:sz w:val="24"/>
                <w:szCs w:val="24"/>
              </w:rPr>
            </w:pPr>
          </w:p>
        </w:tc>
        <w:tc>
          <w:tcPr>
            <w:tcW w:w="2880" w:type="dxa"/>
          </w:tcPr>
          <w:p w14:paraId="280D5B39">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一般实习</w:t>
            </w:r>
          </w:p>
        </w:tc>
        <w:tc>
          <w:tcPr>
            <w:tcW w:w="1184" w:type="dxa"/>
          </w:tcPr>
          <w:p w14:paraId="2B84C588">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70</w:t>
            </w:r>
          </w:p>
          <w:p w14:paraId="780166BD">
            <w:pPr>
              <w:widowControl/>
              <w:spacing w:line="360" w:lineRule="auto"/>
              <w:jc w:val="center"/>
              <w:rPr>
                <w:rFonts w:hint="eastAsia" w:ascii="仿宋" w:hAnsi="仿宋" w:eastAsia="仿宋" w:cs="仿宋"/>
                <w:color w:val="000000"/>
                <w:kern w:val="0"/>
                <w:sz w:val="24"/>
                <w:szCs w:val="24"/>
                <w:lang w:bidi="ar"/>
              </w:rPr>
            </w:pPr>
          </w:p>
        </w:tc>
        <w:tc>
          <w:tcPr>
            <w:tcW w:w="2158" w:type="dxa"/>
            <w:vMerge w:val="continue"/>
          </w:tcPr>
          <w:p w14:paraId="6755D017">
            <w:pPr>
              <w:pStyle w:val="7"/>
              <w:widowControl/>
              <w:spacing w:beforeAutospacing="0" w:afterAutospacing="0" w:line="360" w:lineRule="auto"/>
              <w:jc w:val="center"/>
              <w:rPr>
                <w:rFonts w:hint="eastAsia" w:ascii="仿宋" w:hAnsi="仿宋" w:eastAsia="仿宋" w:cs="仿宋"/>
                <w:color w:val="000000"/>
                <w:sz w:val="24"/>
                <w:szCs w:val="24"/>
              </w:rPr>
            </w:pPr>
          </w:p>
        </w:tc>
      </w:tr>
      <w:tr w14:paraId="3DC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00" w:type="dxa"/>
            <w:vMerge w:val="restart"/>
          </w:tcPr>
          <w:p w14:paraId="5339C6B7">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省、市级院团；省、市级剧社；省市级电视台</w:t>
            </w:r>
          </w:p>
          <w:p w14:paraId="65D7C969">
            <w:pPr>
              <w:widowControl/>
              <w:spacing w:line="360" w:lineRule="auto"/>
              <w:jc w:val="both"/>
              <w:rPr>
                <w:rFonts w:hint="eastAsia" w:ascii="仿宋" w:hAnsi="仿宋" w:eastAsia="仿宋" w:cs="仿宋"/>
                <w:sz w:val="24"/>
                <w:szCs w:val="24"/>
              </w:rPr>
            </w:pPr>
          </w:p>
        </w:tc>
        <w:tc>
          <w:tcPr>
            <w:tcW w:w="2880" w:type="dxa"/>
          </w:tcPr>
          <w:p w14:paraId="1EF9EC88">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在作品中承担主要工作</w:t>
            </w:r>
          </w:p>
        </w:tc>
        <w:tc>
          <w:tcPr>
            <w:tcW w:w="1184" w:type="dxa"/>
          </w:tcPr>
          <w:p w14:paraId="3E500CD9">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80</w:t>
            </w:r>
          </w:p>
          <w:p w14:paraId="4DE787B2">
            <w:pPr>
              <w:widowControl/>
              <w:spacing w:line="360" w:lineRule="auto"/>
              <w:jc w:val="center"/>
              <w:rPr>
                <w:rFonts w:hint="eastAsia" w:ascii="仿宋" w:hAnsi="仿宋" w:eastAsia="仿宋" w:cs="仿宋"/>
                <w:color w:val="000000"/>
                <w:sz w:val="24"/>
                <w:szCs w:val="24"/>
                <w:lang w:bidi="ar"/>
              </w:rPr>
            </w:pPr>
          </w:p>
        </w:tc>
        <w:tc>
          <w:tcPr>
            <w:tcW w:w="2158" w:type="dxa"/>
            <w:vMerge w:val="continue"/>
          </w:tcPr>
          <w:p w14:paraId="333C3109">
            <w:pPr>
              <w:pStyle w:val="7"/>
              <w:widowControl/>
              <w:spacing w:beforeAutospacing="0" w:afterAutospacing="0" w:line="360" w:lineRule="auto"/>
              <w:jc w:val="center"/>
              <w:rPr>
                <w:rFonts w:hint="eastAsia" w:ascii="仿宋" w:hAnsi="仿宋" w:eastAsia="仿宋" w:cs="仿宋"/>
                <w:color w:val="000000"/>
                <w:sz w:val="24"/>
                <w:szCs w:val="24"/>
              </w:rPr>
            </w:pPr>
          </w:p>
        </w:tc>
      </w:tr>
      <w:tr w14:paraId="5784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300" w:type="dxa"/>
            <w:vMerge w:val="continue"/>
          </w:tcPr>
          <w:p w14:paraId="50C51AB5">
            <w:pPr>
              <w:pStyle w:val="7"/>
              <w:widowControl/>
              <w:spacing w:beforeAutospacing="0" w:afterAutospacing="0" w:line="360" w:lineRule="auto"/>
              <w:jc w:val="center"/>
              <w:rPr>
                <w:rFonts w:hint="eastAsia" w:ascii="仿宋" w:hAnsi="仿宋" w:eastAsia="仿宋" w:cs="仿宋"/>
                <w:color w:val="000000"/>
                <w:sz w:val="24"/>
                <w:szCs w:val="24"/>
              </w:rPr>
            </w:pPr>
          </w:p>
        </w:tc>
        <w:tc>
          <w:tcPr>
            <w:tcW w:w="2880" w:type="dxa"/>
          </w:tcPr>
          <w:p w14:paraId="3443E3E1">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一般实习</w:t>
            </w:r>
          </w:p>
        </w:tc>
        <w:tc>
          <w:tcPr>
            <w:tcW w:w="1184" w:type="dxa"/>
          </w:tcPr>
          <w:p w14:paraId="6692054E">
            <w:pPr>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50</w:t>
            </w:r>
          </w:p>
          <w:p w14:paraId="111E0EDF">
            <w:pPr>
              <w:widowControl/>
              <w:spacing w:line="360" w:lineRule="auto"/>
              <w:jc w:val="center"/>
              <w:rPr>
                <w:rFonts w:hint="eastAsia" w:ascii="仿宋" w:hAnsi="仿宋" w:eastAsia="仿宋" w:cs="仿宋"/>
                <w:color w:val="000000"/>
                <w:kern w:val="0"/>
                <w:sz w:val="24"/>
                <w:szCs w:val="24"/>
                <w:lang w:bidi="ar"/>
              </w:rPr>
            </w:pPr>
          </w:p>
        </w:tc>
        <w:tc>
          <w:tcPr>
            <w:tcW w:w="2158" w:type="dxa"/>
            <w:vMerge w:val="continue"/>
          </w:tcPr>
          <w:p w14:paraId="6BE987DB">
            <w:pPr>
              <w:pStyle w:val="7"/>
              <w:widowControl/>
              <w:spacing w:beforeAutospacing="0" w:afterAutospacing="0" w:line="360" w:lineRule="auto"/>
              <w:jc w:val="center"/>
              <w:rPr>
                <w:rFonts w:hint="eastAsia" w:ascii="仿宋" w:hAnsi="仿宋" w:eastAsia="仿宋" w:cs="仿宋"/>
                <w:color w:val="000000"/>
                <w:sz w:val="24"/>
                <w:szCs w:val="24"/>
              </w:rPr>
            </w:pPr>
          </w:p>
        </w:tc>
      </w:tr>
      <w:tr w14:paraId="2501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tcPr>
          <w:p w14:paraId="4B6A62C7">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其他公司类实习</w:t>
            </w:r>
          </w:p>
        </w:tc>
        <w:tc>
          <w:tcPr>
            <w:tcW w:w="2880" w:type="dxa"/>
          </w:tcPr>
          <w:p w14:paraId="76235412">
            <w:pPr>
              <w:spacing w:line="36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shd w:val="clear" w:color="auto" w:fill="FFFFFF"/>
                <w:lang w:bidi="ar"/>
              </w:rPr>
              <w:t>一般实习</w:t>
            </w:r>
          </w:p>
        </w:tc>
        <w:tc>
          <w:tcPr>
            <w:tcW w:w="1184" w:type="dxa"/>
          </w:tcPr>
          <w:p w14:paraId="7D40D401">
            <w:pPr>
              <w:widowControl/>
              <w:spacing w:line="360" w:lineRule="auto"/>
              <w:ind w:firstLine="240" w:firstLineChars="100"/>
              <w:jc w:val="center"/>
              <w:rPr>
                <w:rFonts w:hint="eastAsia" w:ascii="仿宋" w:hAnsi="仿宋" w:eastAsia="仿宋" w:cs="仿宋"/>
                <w:color w:val="000000"/>
                <w:sz w:val="24"/>
                <w:szCs w:val="24"/>
                <w:lang w:bidi="ar"/>
              </w:rPr>
            </w:pPr>
            <w:r>
              <w:rPr>
                <w:rFonts w:hint="eastAsia" w:ascii="仿宋" w:hAnsi="仿宋" w:eastAsia="仿宋" w:cs="仿宋"/>
                <w:color w:val="000000"/>
                <w:kern w:val="0"/>
                <w:sz w:val="24"/>
                <w:szCs w:val="24"/>
                <w:lang w:bidi="ar"/>
              </w:rPr>
              <w:t>30</w:t>
            </w:r>
          </w:p>
        </w:tc>
        <w:tc>
          <w:tcPr>
            <w:tcW w:w="2158" w:type="dxa"/>
            <w:vMerge w:val="continue"/>
          </w:tcPr>
          <w:p w14:paraId="54790982">
            <w:pPr>
              <w:pStyle w:val="7"/>
              <w:widowControl/>
              <w:spacing w:beforeAutospacing="0" w:afterAutospacing="0" w:line="360" w:lineRule="auto"/>
              <w:jc w:val="center"/>
              <w:rPr>
                <w:rFonts w:hint="eastAsia" w:ascii="仿宋" w:hAnsi="仿宋" w:eastAsia="仿宋" w:cs="仿宋"/>
                <w:color w:val="000000"/>
                <w:sz w:val="24"/>
                <w:szCs w:val="24"/>
              </w:rPr>
            </w:pPr>
          </w:p>
        </w:tc>
      </w:tr>
    </w:tbl>
    <w:p w14:paraId="28937808">
      <w:pPr>
        <w:pStyle w:val="7"/>
        <w:widowControl/>
        <w:numPr>
          <w:ilvl w:val="0"/>
          <w:numId w:val="1"/>
        </w:numPr>
        <w:spacing w:beforeAutospacing="0" w:afterAutospacing="0" w:line="360" w:lineRule="auto"/>
        <w:ind w:left="199" w:leftChars="95" w:firstLine="412" w:firstLineChars="129"/>
        <w:jc w:val="both"/>
        <w:rPr>
          <w:rFonts w:hint="eastAsia" w:ascii="仿宋" w:hAnsi="仿宋" w:eastAsia="仿宋" w:cs="仿宋"/>
          <w:color w:val="000000"/>
          <w:sz w:val="32"/>
          <w:szCs w:val="32"/>
        </w:rPr>
      </w:pPr>
      <w:bookmarkStart w:id="2" w:name="_GoBack"/>
      <w:bookmarkEnd w:id="2"/>
      <w:r>
        <w:rPr>
          <w:rFonts w:hint="eastAsia" w:ascii="仿宋" w:hAnsi="仿宋" w:eastAsia="仿宋" w:cs="仿宋"/>
          <w:color w:val="000000"/>
          <w:sz w:val="32"/>
          <w:szCs w:val="32"/>
        </w:rPr>
        <w:t>专业硕士的中期实习纳入课程体系，按照满分100计算，实习考核得分办法如下：</w:t>
      </w:r>
    </w:p>
    <w:p w14:paraId="4701533C">
      <w:pPr>
        <w:pStyle w:val="7"/>
        <w:widowControl/>
        <w:numPr>
          <w:ilvl w:val="0"/>
          <w:numId w:val="1"/>
        </w:numPr>
        <w:spacing w:beforeAutospacing="0" w:afterAutospacing="0" w:line="360" w:lineRule="auto"/>
        <w:ind w:left="199" w:leftChars="95" w:firstLine="412" w:firstLineChars="129"/>
        <w:jc w:val="both"/>
        <w:rPr>
          <w:rFonts w:hint="eastAsia" w:ascii="仿宋" w:hAnsi="仿宋" w:eastAsia="仿宋" w:cs="仿宋"/>
          <w:color w:val="000000"/>
          <w:sz w:val="32"/>
          <w:szCs w:val="32"/>
        </w:rPr>
      </w:pPr>
      <w:r>
        <w:rPr>
          <w:rFonts w:hint="eastAsia" w:ascii="仿宋" w:hAnsi="仿宋" w:eastAsia="仿宋" w:cs="仿宋"/>
          <w:color w:val="000000"/>
          <w:sz w:val="32"/>
          <w:szCs w:val="32"/>
        </w:rPr>
        <w:t>说明：关于实习情况的认定须提交实习单位提供的证明，并加盖单位公章，同时提交相关佐证材料。所提交的实习加分材料完成时间须为研究生第二学年，其他时间不予认定。</w:t>
      </w:r>
    </w:p>
    <w:p w14:paraId="5FEBAEB6">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2791DBB6">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56782E8A">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6F436760">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15530848">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5096AA10">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362A7980">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079E8397">
      <w:pPr>
        <w:pStyle w:val="7"/>
        <w:widowControl/>
        <w:numPr>
          <w:numId w:val="0"/>
        </w:numPr>
        <w:spacing w:beforeAutospacing="0" w:afterAutospacing="0" w:line="360" w:lineRule="auto"/>
        <w:jc w:val="both"/>
        <w:rPr>
          <w:rFonts w:hint="eastAsia" w:ascii="仿宋" w:hAnsi="仿宋" w:eastAsia="仿宋" w:cs="仿宋"/>
          <w:color w:val="000000"/>
          <w:sz w:val="32"/>
          <w:szCs w:val="32"/>
        </w:rPr>
      </w:pPr>
    </w:p>
    <w:p w14:paraId="5DCF85EA">
      <w:pPr>
        <w:pStyle w:val="7"/>
        <w:widowControl/>
        <w:numPr>
          <w:ilvl w:val="0"/>
          <w:numId w:val="2"/>
        </w:numPr>
        <w:spacing w:beforeAutospacing="0" w:afterAutospacing="0"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科研创作成果得分办法（满分300分）</w:t>
      </w:r>
    </w:p>
    <w:tbl>
      <w:tblPr>
        <w:tblStyle w:val="9"/>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06"/>
        <w:gridCol w:w="2903"/>
        <w:gridCol w:w="1191"/>
        <w:gridCol w:w="1513"/>
        <w:gridCol w:w="1509"/>
      </w:tblGrid>
      <w:tr w14:paraId="4B8C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restart"/>
            <w:vAlign w:val="center"/>
          </w:tcPr>
          <w:p w14:paraId="140F1BCB">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科研创作成果（上一学年成果）</w:t>
            </w:r>
          </w:p>
        </w:tc>
        <w:tc>
          <w:tcPr>
            <w:tcW w:w="706" w:type="dxa"/>
            <w:vMerge w:val="restart"/>
            <w:vAlign w:val="center"/>
          </w:tcPr>
          <w:p w14:paraId="22A9F7D1">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论文满分</w:t>
            </w:r>
          </w:p>
          <w:p w14:paraId="6D94C1D3">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100</w:t>
            </w:r>
          </w:p>
        </w:tc>
        <w:tc>
          <w:tcPr>
            <w:tcW w:w="2903" w:type="dxa"/>
          </w:tcPr>
          <w:p w14:paraId="7EDC9EA1">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期刊类别</w:t>
            </w:r>
          </w:p>
        </w:tc>
        <w:tc>
          <w:tcPr>
            <w:tcW w:w="1191" w:type="dxa"/>
          </w:tcPr>
          <w:p w14:paraId="70BE84BD">
            <w:pPr>
              <w:pStyle w:val="7"/>
              <w:widowControl/>
              <w:spacing w:beforeAutospacing="0" w:afterAutospacing="0" w:line="360" w:lineRule="auto"/>
              <w:jc w:val="both"/>
              <w:rPr>
                <w:rFonts w:hint="eastAsia" w:ascii="仿宋" w:hAnsi="仿宋" w:eastAsia="仿宋" w:cs="仿宋"/>
                <w:sz w:val="22"/>
                <w:szCs w:val="22"/>
              </w:rPr>
            </w:pPr>
            <w:r>
              <w:rPr>
                <w:rFonts w:hint="eastAsia" w:ascii="仿宋" w:hAnsi="仿宋" w:eastAsia="仿宋" w:cs="仿宋"/>
                <w:sz w:val="22"/>
                <w:szCs w:val="22"/>
              </w:rPr>
              <w:t>独著/第一作者</w:t>
            </w:r>
          </w:p>
        </w:tc>
        <w:tc>
          <w:tcPr>
            <w:tcW w:w="1513" w:type="dxa"/>
          </w:tcPr>
          <w:p w14:paraId="57F74969">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第二作者</w:t>
            </w:r>
          </w:p>
        </w:tc>
        <w:tc>
          <w:tcPr>
            <w:tcW w:w="1509" w:type="dxa"/>
          </w:tcPr>
          <w:p w14:paraId="44C819A3">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第三作者</w:t>
            </w:r>
          </w:p>
        </w:tc>
      </w:tr>
      <w:tr w14:paraId="35B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vAlign w:val="center"/>
          </w:tcPr>
          <w:p w14:paraId="5FEE56B3">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5580FEDF">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50BE95CA">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核心期刊（南大版）</w:t>
            </w:r>
          </w:p>
        </w:tc>
        <w:tc>
          <w:tcPr>
            <w:tcW w:w="1191" w:type="dxa"/>
          </w:tcPr>
          <w:p w14:paraId="3A854BF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每篇50分</w:t>
            </w:r>
          </w:p>
        </w:tc>
        <w:tc>
          <w:tcPr>
            <w:tcW w:w="1513" w:type="dxa"/>
          </w:tcPr>
          <w:p w14:paraId="26C0E814">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每篇30分</w:t>
            </w:r>
          </w:p>
        </w:tc>
        <w:tc>
          <w:tcPr>
            <w:tcW w:w="1509" w:type="dxa"/>
          </w:tcPr>
          <w:p w14:paraId="5193FF7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每篇10分</w:t>
            </w:r>
          </w:p>
        </w:tc>
      </w:tr>
      <w:tr w14:paraId="397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1038C12B">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6C574E15">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6C5B760F">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非核心期刊</w:t>
            </w:r>
          </w:p>
        </w:tc>
        <w:tc>
          <w:tcPr>
            <w:tcW w:w="1191" w:type="dxa"/>
          </w:tcPr>
          <w:p w14:paraId="0BCD162A">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每篇30分</w:t>
            </w:r>
          </w:p>
        </w:tc>
        <w:tc>
          <w:tcPr>
            <w:tcW w:w="1513" w:type="dxa"/>
          </w:tcPr>
          <w:p w14:paraId="55D7EE59">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每篇10分</w:t>
            </w:r>
          </w:p>
        </w:tc>
        <w:tc>
          <w:tcPr>
            <w:tcW w:w="1509" w:type="dxa"/>
          </w:tcPr>
          <w:p w14:paraId="57DFA2C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w:t>
            </w:r>
          </w:p>
        </w:tc>
      </w:tr>
      <w:tr w14:paraId="243D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668FE457">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restart"/>
            <w:vAlign w:val="center"/>
          </w:tcPr>
          <w:p w14:paraId="3937C15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课题</w:t>
            </w:r>
          </w:p>
          <w:p w14:paraId="2B00D104">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满分50</w:t>
            </w:r>
          </w:p>
        </w:tc>
        <w:tc>
          <w:tcPr>
            <w:tcW w:w="2903" w:type="dxa"/>
            <w:vAlign w:val="center"/>
          </w:tcPr>
          <w:p w14:paraId="595F58F3">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课题类别</w:t>
            </w:r>
          </w:p>
        </w:tc>
        <w:tc>
          <w:tcPr>
            <w:tcW w:w="1191" w:type="dxa"/>
          </w:tcPr>
          <w:p w14:paraId="39E43B98">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负责人</w:t>
            </w:r>
          </w:p>
        </w:tc>
        <w:tc>
          <w:tcPr>
            <w:tcW w:w="1513" w:type="dxa"/>
          </w:tcPr>
          <w:p w14:paraId="03CEFD7B">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2-3排名</w:t>
            </w:r>
          </w:p>
        </w:tc>
        <w:tc>
          <w:tcPr>
            <w:tcW w:w="1509" w:type="dxa"/>
          </w:tcPr>
          <w:p w14:paraId="36DF013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4-5位排名</w:t>
            </w:r>
          </w:p>
        </w:tc>
      </w:tr>
      <w:tr w14:paraId="5859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6C33919B">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1165D070">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09FA062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国家政府级立项</w:t>
            </w:r>
          </w:p>
        </w:tc>
        <w:tc>
          <w:tcPr>
            <w:tcW w:w="1191" w:type="dxa"/>
          </w:tcPr>
          <w:p w14:paraId="57CB834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每项30分</w:t>
            </w:r>
          </w:p>
        </w:tc>
        <w:tc>
          <w:tcPr>
            <w:tcW w:w="1513" w:type="dxa"/>
          </w:tcPr>
          <w:p w14:paraId="35780499">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每项20分</w:t>
            </w:r>
          </w:p>
        </w:tc>
        <w:tc>
          <w:tcPr>
            <w:tcW w:w="1509" w:type="dxa"/>
          </w:tcPr>
          <w:p w14:paraId="58553833">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每项10分</w:t>
            </w:r>
          </w:p>
        </w:tc>
      </w:tr>
      <w:tr w14:paraId="0AB9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095F2760">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22764BFE">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2F4E1901">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省市政府级/国家协会级立项</w:t>
            </w:r>
          </w:p>
        </w:tc>
        <w:tc>
          <w:tcPr>
            <w:tcW w:w="1191" w:type="dxa"/>
          </w:tcPr>
          <w:p w14:paraId="62220B03">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每项20分</w:t>
            </w:r>
          </w:p>
        </w:tc>
        <w:tc>
          <w:tcPr>
            <w:tcW w:w="1513" w:type="dxa"/>
          </w:tcPr>
          <w:p w14:paraId="4F0D4F2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每项15分</w:t>
            </w:r>
          </w:p>
        </w:tc>
        <w:tc>
          <w:tcPr>
            <w:tcW w:w="1509" w:type="dxa"/>
          </w:tcPr>
          <w:p w14:paraId="4CA2559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每项5分</w:t>
            </w:r>
          </w:p>
        </w:tc>
      </w:tr>
      <w:tr w14:paraId="6659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0FBD1FF9">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65803ADE">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035F455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区局校级/省市协会级立项</w:t>
            </w:r>
          </w:p>
        </w:tc>
        <w:tc>
          <w:tcPr>
            <w:tcW w:w="1191" w:type="dxa"/>
          </w:tcPr>
          <w:p w14:paraId="78F31920">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每项10分</w:t>
            </w:r>
          </w:p>
        </w:tc>
        <w:tc>
          <w:tcPr>
            <w:tcW w:w="1513" w:type="dxa"/>
          </w:tcPr>
          <w:p w14:paraId="2117E5A0">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每项5分</w:t>
            </w:r>
          </w:p>
        </w:tc>
        <w:tc>
          <w:tcPr>
            <w:tcW w:w="1509" w:type="dxa"/>
          </w:tcPr>
          <w:p w14:paraId="2CD0EE7D">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每项3分</w:t>
            </w:r>
          </w:p>
        </w:tc>
      </w:tr>
      <w:tr w14:paraId="0FB1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2360B69C">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504A4F98">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4DDC5AA7">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其他正规立项</w:t>
            </w:r>
          </w:p>
        </w:tc>
        <w:tc>
          <w:tcPr>
            <w:tcW w:w="1191" w:type="dxa"/>
          </w:tcPr>
          <w:p w14:paraId="198E89BE">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每项5分</w:t>
            </w:r>
          </w:p>
        </w:tc>
        <w:tc>
          <w:tcPr>
            <w:tcW w:w="1513" w:type="dxa"/>
          </w:tcPr>
          <w:p w14:paraId="0C470608">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每项3分</w:t>
            </w:r>
          </w:p>
        </w:tc>
        <w:tc>
          <w:tcPr>
            <w:tcW w:w="1509" w:type="dxa"/>
          </w:tcPr>
          <w:p w14:paraId="1BBF29BD">
            <w:pPr>
              <w:pStyle w:val="7"/>
              <w:widowControl/>
              <w:spacing w:beforeAutospacing="0" w:afterAutospacing="0" w:line="360" w:lineRule="auto"/>
              <w:jc w:val="both"/>
              <w:rPr>
                <w:rFonts w:hint="eastAsia" w:ascii="仿宋" w:hAnsi="仿宋" w:eastAsia="仿宋" w:cs="仿宋"/>
                <w:color w:val="000000"/>
                <w:sz w:val="22"/>
                <w:szCs w:val="22"/>
              </w:rPr>
            </w:pPr>
          </w:p>
        </w:tc>
      </w:tr>
      <w:tr w14:paraId="1C2D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1469CAA9">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39907B4E">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76D724DE">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国家政府级结项</w:t>
            </w:r>
          </w:p>
        </w:tc>
        <w:tc>
          <w:tcPr>
            <w:tcW w:w="1191" w:type="dxa"/>
          </w:tcPr>
          <w:p w14:paraId="36AE4811">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每项50分</w:t>
            </w:r>
          </w:p>
        </w:tc>
        <w:tc>
          <w:tcPr>
            <w:tcW w:w="1513" w:type="dxa"/>
          </w:tcPr>
          <w:p w14:paraId="570F91E9">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每项40分</w:t>
            </w:r>
          </w:p>
        </w:tc>
        <w:tc>
          <w:tcPr>
            <w:tcW w:w="1509" w:type="dxa"/>
          </w:tcPr>
          <w:p w14:paraId="0B5D7A67">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每项30分</w:t>
            </w:r>
          </w:p>
        </w:tc>
      </w:tr>
      <w:tr w14:paraId="3D73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193A6C3A">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71569B26">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228AF5D8">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省市政府级/国家协会级结项</w:t>
            </w:r>
          </w:p>
        </w:tc>
        <w:tc>
          <w:tcPr>
            <w:tcW w:w="1191" w:type="dxa"/>
          </w:tcPr>
          <w:p w14:paraId="48062ED1">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每项40分</w:t>
            </w:r>
          </w:p>
        </w:tc>
        <w:tc>
          <w:tcPr>
            <w:tcW w:w="1513" w:type="dxa"/>
          </w:tcPr>
          <w:p w14:paraId="303EEF7A">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每项30分</w:t>
            </w:r>
          </w:p>
        </w:tc>
        <w:tc>
          <w:tcPr>
            <w:tcW w:w="1509" w:type="dxa"/>
          </w:tcPr>
          <w:p w14:paraId="7975F635">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每项20分</w:t>
            </w:r>
          </w:p>
        </w:tc>
      </w:tr>
      <w:tr w14:paraId="5F6C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07E2198A">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07FA703E">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2DB0BB5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区局校级/省市协会级结项</w:t>
            </w:r>
          </w:p>
        </w:tc>
        <w:tc>
          <w:tcPr>
            <w:tcW w:w="1191" w:type="dxa"/>
          </w:tcPr>
          <w:p w14:paraId="700FB0A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每项30分</w:t>
            </w:r>
          </w:p>
        </w:tc>
        <w:tc>
          <w:tcPr>
            <w:tcW w:w="1513" w:type="dxa"/>
          </w:tcPr>
          <w:p w14:paraId="24F8CB6A">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每项20分</w:t>
            </w:r>
          </w:p>
        </w:tc>
        <w:tc>
          <w:tcPr>
            <w:tcW w:w="1509" w:type="dxa"/>
          </w:tcPr>
          <w:p w14:paraId="77A065C4">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每项10分</w:t>
            </w:r>
          </w:p>
        </w:tc>
      </w:tr>
      <w:tr w14:paraId="40A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3F36A7C4">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restart"/>
            <w:vAlign w:val="center"/>
          </w:tcPr>
          <w:p w14:paraId="2ECED7AE">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比赛获奖满分</w:t>
            </w:r>
          </w:p>
          <w:p w14:paraId="5035010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100</w:t>
            </w:r>
          </w:p>
        </w:tc>
        <w:tc>
          <w:tcPr>
            <w:tcW w:w="2903" w:type="dxa"/>
          </w:tcPr>
          <w:p w14:paraId="1C74788E">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比赛获奖：教育部认定赛事</w:t>
            </w:r>
          </w:p>
        </w:tc>
        <w:tc>
          <w:tcPr>
            <w:tcW w:w="1191" w:type="dxa"/>
          </w:tcPr>
          <w:p w14:paraId="3B41965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一等奖</w:t>
            </w:r>
          </w:p>
        </w:tc>
        <w:tc>
          <w:tcPr>
            <w:tcW w:w="1513" w:type="dxa"/>
          </w:tcPr>
          <w:p w14:paraId="5E3218CB">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二等奖</w:t>
            </w:r>
          </w:p>
        </w:tc>
        <w:tc>
          <w:tcPr>
            <w:tcW w:w="1509" w:type="dxa"/>
          </w:tcPr>
          <w:p w14:paraId="42EE07A0">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三等奖</w:t>
            </w:r>
          </w:p>
        </w:tc>
      </w:tr>
      <w:tr w14:paraId="74B8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70ADD2FE">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57845AB3">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0B986BC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国家政府级</w:t>
            </w:r>
          </w:p>
        </w:tc>
        <w:tc>
          <w:tcPr>
            <w:tcW w:w="1191" w:type="dxa"/>
          </w:tcPr>
          <w:p w14:paraId="716AA613">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一次50分</w:t>
            </w:r>
          </w:p>
        </w:tc>
        <w:tc>
          <w:tcPr>
            <w:tcW w:w="1513" w:type="dxa"/>
          </w:tcPr>
          <w:p w14:paraId="23721460">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一次40分</w:t>
            </w:r>
          </w:p>
        </w:tc>
        <w:tc>
          <w:tcPr>
            <w:tcW w:w="1509" w:type="dxa"/>
          </w:tcPr>
          <w:p w14:paraId="6A8468E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一次30分</w:t>
            </w:r>
          </w:p>
        </w:tc>
      </w:tr>
      <w:tr w14:paraId="1450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6AF62E53">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015C16C6">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44E25DB5">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省市政府级/国家协会级</w:t>
            </w:r>
          </w:p>
        </w:tc>
        <w:tc>
          <w:tcPr>
            <w:tcW w:w="1191" w:type="dxa"/>
          </w:tcPr>
          <w:p w14:paraId="3B31AFF0">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一次40分</w:t>
            </w:r>
          </w:p>
        </w:tc>
        <w:tc>
          <w:tcPr>
            <w:tcW w:w="1513" w:type="dxa"/>
          </w:tcPr>
          <w:p w14:paraId="7C375E8E">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一次30分</w:t>
            </w:r>
          </w:p>
        </w:tc>
        <w:tc>
          <w:tcPr>
            <w:tcW w:w="1509" w:type="dxa"/>
          </w:tcPr>
          <w:p w14:paraId="73335BA7">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一次20分</w:t>
            </w:r>
          </w:p>
        </w:tc>
      </w:tr>
      <w:tr w14:paraId="2592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5E6CA8E1">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0997A93E">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vAlign w:val="center"/>
          </w:tcPr>
          <w:p w14:paraId="1A445969">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区、局/省市协会级</w:t>
            </w:r>
          </w:p>
        </w:tc>
        <w:tc>
          <w:tcPr>
            <w:tcW w:w="1191" w:type="dxa"/>
          </w:tcPr>
          <w:p w14:paraId="4B26D93A">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一次30分</w:t>
            </w:r>
          </w:p>
        </w:tc>
        <w:tc>
          <w:tcPr>
            <w:tcW w:w="1513" w:type="dxa"/>
          </w:tcPr>
          <w:p w14:paraId="2C6855DF">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一次20分</w:t>
            </w:r>
          </w:p>
        </w:tc>
        <w:tc>
          <w:tcPr>
            <w:tcW w:w="1509" w:type="dxa"/>
          </w:tcPr>
          <w:p w14:paraId="39B310A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一次10分</w:t>
            </w:r>
          </w:p>
        </w:tc>
      </w:tr>
      <w:tr w14:paraId="1599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6B5A787C">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08CD1AAC">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3F84E21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学校举办比赛</w:t>
            </w:r>
          </w:p>
        </w:tc>
        <w:tc>
          <w:tcPr>
            <w:tcW w:w="1191" w:type="dxa"/>
          </w:tcPr>
          <w:p w14:paraId="67E19F1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一次30分</w:t>
            </w:r>
          </w:p>
        </w:tc>
        <w:tc>
          <w:tcPr>
            <w:tcW w:w="1513" w:type="dxa"/>
          </w:tcPr>
          <w:p w14:paraId="55A1D574">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一次20分</w:t>
            </w:r>
          </w:p>
        </w:tc>
        <w:tc>
          <w:tcPr>
            <w:tcW w:w="1509" w:type="dxa"/>
          </w:tcPr>
          <w:p w14:paraId="3C86ACA4">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一次10分</w:t>
            </w:r>
          </w:p>
        </w:tc>
      </w:tr>
      <w:tr w14:paraId="4D89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4B2C9019">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restart"/>
            <w:vAlign w:val="center"/>
          </w:tcPr>
          <w:p w14:paraId="07A0DEE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作品参加各类展演</w:t>
            </w:r>
          </w:p>
          <w:p w14:paraId="419348B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满分50</w:t>
            </w:r>
          </w:p>
        </w:tc>
        <w:tc>
          <w:tcPr>
            <w:tcW w:w="2903" w:type="dxa"/>
          </w:tcPr>
          <w:p w14:paraId="4A5A3CD2">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类型</w:t>
            </w:r>
          </w:p>
        </w:tc>
        <w:tc>
          <w:tcPr>
            <w:tcW w:w="1191" w:type="dxa"/>
          </w:tcPr>
          <w:p w14:paraId="02DC2D0B">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主创排名1</w:t>
            </w:r>
          </w:p>
        </w:tc>
        <w:tc>
          <w:tcPr>
            <w:tcW w:w="1513" w:type="dxa"/>
          </w:tcPr>
          <w:p w14:paraId="53B8AFE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主创排名2-3</w:t>
            </w:r>
          </w:p>
        </w:tc>
        <w:tc>
          <w:tcPr>
            <w:tcW w:w="1509" w:type="dxa"/>
          </w:tcPr>
          <w:p w14:paraId="6F41E207">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3名后主创排名</w:t>
            </w:r>
          </w:p>
        </w:tc>
      </w:tr>
      <w:tr w14:paraId="66FD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1D421185">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0AA6D41E">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3D242A3C">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全国性一类展演</w:t>
            </w:r>
          </w:p>
        </w:tc>
        <w:tc>
          <w:tcPr>
            <w:tcW w:w="1191" w:type="dxa"/>
          </w:tcPr>
          <w:p w14:paraId="2F752780">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一项50分</w:t>
            </w:r>
          </w:p>
        </w:tc>
        <w:tc>
          <w:tcPr>
            <w:tcW w:w="1513" w:type="dxa"/>
          </w:tcPr>
          <w:p w14:paraId="3C791BF6">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一项30分</w:t>
            </w:r>
          </w:p>
        </w:tc>
        <w:tc>
          <w:tcPr>
            <w:tcW w:w="1509" w:type="dxa"/>
          </w:tcPr>
          <w:p w14:paraId="0D328AA1">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一项10分</w:t>
            </w:r>
          </w:p>
        </w:tc>
      </w:tr>
      <w:tr w14:paraId="137C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145A750A">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6D48BE99">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1AC4D5BE">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全国性二类展演</w:t>
            </w:r>
          </w:p>
        </w:tc>
        <w:tc>
          <w:tcPr>
            <w:tcW w:w="1191" w:type="dxa"/>
          </w:tcPr>
          <w:p w14:paraId="0C488BB4">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一项40分</w:t>
            </w:r>
          </w:p>
        </w:tc>
        <w:tc>
          <w:tcPr>
            <w:tcW w:w="1513" w:type="dxa"/>
          </w:tcPr>
          <w:p w14:paraId="56243C46">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一项20分</w:t>
            </w:r>
          </w:p>
        </w:tc>
        <w:tc>
          <w:tcPr>
            <w:tcW w:w="1509" w:type="dxa"/>
          </w:tcPr>
          <w:p w14:paraId="472938FF">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一项5分</w:t>
            </w:r>
          </w:p>
        </w:tc>
      </w:tr>
      <w:tr w14:paraId="1BE8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296A2358">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67DAAEBF">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4B6ED60A">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全国性三类展演</w:t>
            </w:r>
          </w:p>
        </w:tc>
        <w:tc>
          <w:tcPr>
            <w:tcW w:w="1191" w:type="dxa"/>
          </w:tcPr>
          <w:p w14:paraId="761612C0">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一项30分</w:t>
            </w:r>
          </w:p>
        </w:tc>
        <w:tc>
          <w:tcPr>
            <w:tcW w:w="1513" w:type="dxa"/>
          </w:tcPr>
          <w:p w14:paraId="47DA36C7">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一项20分</w:t>
            </w:r>
          </w:p>
        </w:tc>
        <w:tc>
          <w:tcPr>
            <w:tcW w:w="1509" w:type="dxa"/>
          </w:tcPr>
          <w:p w14:paraId="197440D8">
            <w:pPr>
              <w:widowControl/>
              <w:spacing w:line="360" w:lineRule="auto"/>
              <w:rPr>
                <w:rFonts w:hint="eastAsia" w:ascii="仿宋" w:hAnsi="仿宋" w:eastAsia="仿宋" w:cs="仿宋"/>
                <w:color w:val="000000"/>
                <w:sz w:val="22"/>
                <w:szCs w:val="22"/>
              </w:rPr>
            </w:pPr>
          </w:p>
        </w:tc>
      </w:tr>
      <w:tr w14:paraId="2744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3C209121">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486C651F">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017030B4">
            <w:pPr>
              <w:pStyle w:val="7"/>
              <w:widowControl/>
              <w:spacing w:beforeAutospacing="0" w:afterAutospacing="0" w:line="360" w:lineRule="auto"/>
              <w:jc w:val="both"/>
              <w:rPr>
                <w:rFonts w:hint="eastAsia" w:ascii="仿宋" w:hAnsi="仿宋" w:eastAsia="仿宋" w:cs="仿宋"/>
                <w:color w:val="000000"/>
                <w:sz w:val="22"/>
                <w:szCs w:val="22"/>
              </w:rPr>
            </w:pPr>
            <w:r>
              <w:rPr>
                <w:rFonts w:hint="eastAsia" w:ascii="仿宋" w:hAnsi="仿宋" w:eastAsia="仿宋" w:cs="仿宋"/>
                <w:color w:val="000000"/>
                <w:sz w:val="22"/>
                <w:szCs w:val="22"/>
              </w:rPr>
              <w:t>地区性一类展演</w:t>
            </w:r>
          </w:p>
        </w:tc>
        <w:tc>
          <w:tcPr>
            <w:tcW w:w="1191" w:type="dxa"/>
          </w:tcPr>
          <w:p w14:paraId="48092615">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一项30分</w:t>
            </w:r>
          </w:p>
        </w:tc>
        <w:tc>
          <w:tcPr>
            <w:tcW w:w="1513" w:type="dxa"/>
          </w:tcPr>
          <w:p w14:paraId="2206D26B">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一项20分</w:t>
            </w:r>
          </w:p>
        </w:tc>
        <w:tc>
          <w:tcPr>
            <w:tcW w:w="1509" w:type="dxa"/>
          </w:tcPr>
          <w:p w14:paraId="7AC30931">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一项5分</w:t>
            </w:r>
          </w:p>
        </w:tc>
      </w:tr>
      <w:tr w14:paraId="4D14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0C7EF59A">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7DA0CB0A">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1C9A4462">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地区性二类展演</w:t>
            </w:r>
          </w:p>
        </w:tc>
        <w:tc>
          <w:tcPr>
            <w:tcW w:w="1191" w:type="dxa"/>
          </w:tcPr>
          <w:p w14:paraId="653E1FEB">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一项20分</w:t>
            </w:r>
          </w:p>
        </w:tc>
        <w:tc>
          <w:tcPr>
            <w:tcW w:w="1513" w:type="dxa"/>
          </w:tcPr>
          <w:p w14:paraId="1B5B5CAE">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一项10分</w:t>
            </w:r>
          </w:p>
        </w:tc>
        <w:tc>
          <w:tcPr>
            <w:tcW w:w="1509" w:type="dxa"/>
          </w:tcPr>
          <w:p w14:paraId="1AFF3EAE">
            <w:pPr>
              <w:widowControl/>
              <w:spacing w:line="360" w:lineRule="auto"/>
              <w:rPr>
                <w:rFonts w:hint="eastAsia" w:ascii="仿宋" w:hAnsi="仿宋" w:eastAsia="仿宋" w:cs="仿宋"/>
                <w:color w:val="000000"/>
                <w:sz w:val="22"/>
                <w:szCs w:val="22"/>
              </w:rPr>
            </w:pPr>
          </w:p>
        </w:tc>
      </w:tr>
      <w:tr w14:paraId="648D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tcPr>
          <w:p w14:paraId="1DF17792">
            <w:pPr>
              <w:pStyle w:val="7"/>
              <w:widowControl/>
              <w:spacing w:beforeAutospacing="0" w:afterAutospacing="0" w:line="360" w:lineRule="auto"/>
              <w:jc w:val="both"/>
              <w:rPr>
                <w:rFonts w:hint="eastAsia" w:ascii="仿宋" w:hAnsi="仿宋" w:eastAsia="仿宋" w:cs="仿宋"/>
                <w:color w:val="000000"/>
                <w:sz w:val="22"/>
                <w:szCs w:val="22"/>
              </w:rPr>
            </w:pPr>
          </w:p>
        </w:tc>
        <w:tc>
          <w:tcPr>
            <w:tcW w:w="706" w:type="dxa"/>
            <w:vMerge w:val="continue"/>
            <w:vAlign w:val="center"/>
          </w:tcPr>
          <w:p w14:paraId="5384D97B">
            <w:pPr>
              <w:pStyle w:val="7"/>
              <w:widowControl/>
              <w:spacing w:beforeAutospacing="0" w:afterAutospacing="0" w:line="360" w:lineRule="auto"/>
              <w:jc w:val="both"/>
              <w:rPr>
                <w:rFonts w:hint="eastAsia" w:ascii="仿宋" w:hAnsi="仿宋" w:eastAsia="仿宋" w:cs="仿宋"/>
                <w:color w:val="000000"/>
                <w:sz w:val="22"/>
                <w:szCs w:val="22"/>
              </w:rPr>
            </w:pPr>
          </w:p>
        </w:tc>
        <w:tc>
          <w:tcPr>
            <w:tcW w:w="2903" w:type="dxa"/>
          </w:tcPr>
          <w:p w14:paraId="2A981B6D">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地区性三类展演</w:t>
            </w:r>
          </w:p>
        </w:tc>
        <w:tc>
          <w:tcPr>
            <w:tcW w:w="1191" w:type="dxa"/>
          </w:tcPr>
          <w:p w14:paraId="2860F2F9">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一项10分</w:t>
            </w:r>
          </w:p>
        </w:tc>
        <w:tc>
          <w:tcPr>
            <w:tcW w:w="1513" w:type="dxa"/>
          </w:tcPr>
          <w:p w14:paraId="2A561426">
            <w:pPr>
              <w:widowControl/>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一项5分</w:t>
            </w:r>
          </w:p>
        </w:tc>
        <w:tc>
          <w:tcPr>
            <w:tcW w:w="1509" w:type="dxa"/>
          </w:tcPr>
          <w:p w14:paraId="434FB98A">
            <w:pPr>
              <w:widowControl/>
              <w:spacing w:line="360" w:lineRule="auto"/>
              <w:rPr>
                <w:rFonts w:hint="eastAsia" w:ascii="仿宋" w:hAnsi="仿宋" w:eastAsia="仿宋" w:cs="仿宋"/>
                <w:color w:val="000000"/>
                <w:sz w:val="22"/>
                <w:szCs w:val="22"/>
              </w:rPr>
            </w:pPr>
          </w:p>
        </w:tc>
      </w:tr>
    </w:tbl>
    <w:p w14:paraId="25D4B6FB">
      <w:pPr>
        <w:pStyle w:val="7"/>
        <w:widowControl/>
        <w:spacing w:beforeAutospacing="0" w:afterAutospacing="0" w:line="360" w:lineRule="auto"/>
        <w:jc w:val="both"/>
        <w:rPr>
          <w:rStyle w:val="11"/>
          <w:rFonts w:hint="eastAsia" w:ascii="仿宋" w:hAnsi="仿宋" w:eastAsia="仿宋" w:cs="仿宋"/>
          <w:b w:val="0"/>
          <w:bCs/>
          <w:color w:val="000000"/>
          <w:kern w:val="2"/>
          <w:sz w:val="32"/>
          <w:szCs w:val="32"/>
        </w:rPr>
      </w:pPr>
      <w:r>
        <w:rPr>
          <w:rStyle w:val="11"/>
          <w:rFonts w:hint="eastAsia" w:ascii="仿宋" w:hAnsi="仿宋" w:eastAsia="仿宋" w:cs="仿宋"/>
          <w:b w:val="0"/>
          <w:bCs/>
          <w:color w:val="000000"/>
          <w:sz w:val="32"/>
          <w:szCs w:val="32"/>
        </w:rPr>
        <w:t>备注：</w:t>
      </w:r>
    </w:p>
    <w:p w14:paraId="6C7C9266">
      <w:pPr>
        <w:pStyle w:val="7"/>
        <w:widowControl/>
        <w:numPr>
          <w:ilvl w:val="255"/>
          <w:numId w:val="0"/>
        </w:numPr>
        <w:spacing w:beforeAutospacing="0" w:afterAutospacing="0" w:line="360" w:lineRule="auto"/>
        <w:ind w:firstLine="640" w:firstLineChars="200"/>
        <w:jc w:val="both"/>
        <w:rPr>
          <w:rStyle w:val="11"/>
          <w:rFonts w:hint="eastAsia" w:ascii="仿宋" w:hAnsi="仿宋" w:eastAsia="仿宋" w:cs="仿宋"/>
          <w:b w:val="0"/>
          <w:bCs/>
          <w:color w:val="000000"/>
          <w:kern w:val="2"/>
          <w:sz w:val="32"/>
          <w:szCs w:val="32"/>
        </w:rPr>
      </w:pPr>
      <w:r>
        <w:rPr>
          <w:rStyle w:val="11"/>
          <w:rFonts w:hint="eastAsia" w:ascii="仿宋" w:hAnsi="仿宋" w:eastAsia="仿宋" w:cs="仿宋"/>
          <w:b w:val="0"/>
          <w:bCs/>
          <w:color w:val="000000"/>
          <w:sz w:val="32"/>
          <w:szCs w:val="32"/>
        </w:rPr>
        <w:t>1.“获奖”成果的认定最终以评审小组认定为准；</w:t>
      </w:r>
    </w:p>
    <w:p w14:paraId="02093D62">
      <w:pPr>
        <w:pStyle w:val="7"/>
        <w:widowControl/>
        <w:numPr>
          <w:ilvl w:val="255"/>
          <w:numId w:val="0"/>
        </w:numPr>
        <w:spacing w:beforeAutospacing="0" w:afterAutospacing="0" w:line="360" w:lineRule="auto"/>
        <w:ind w:firstLine="640" w:firstLineChars="200"/>
        <w:jc w:val="both"/>
        <w:rPr>
          <w:rStyle w:val="11"/>
          <w:rFonts w:hint="eastAsia" w:ascii="仿宋" w:hAnsi="仿宋" w:eastAsia="仿宋" w:cs="仿宋"/>
          <w:b w:val="0"/>
          <w:bCs/>
          <w:color w:val="000000"/>
          <w:kern w:val="2"/>
          <w:sz w:val="32"/>
          <w:szCs w:val="32"/>
        </w:rPr>
      </w:pPr>
      <w:r>
        <w:rPr>
          <w:rStyle w:val="11"/>
          <w:rFonts w:hint="eastAsia" w:ascii="仿宋" w:hAnsi="仿宋" w:eastAsia="仿宋" w:cs="仿宋"/>
          <w:b w:val="0"/>
          <w:bCs/>
          <w:color w:val="000000"/>
          <w:sz w:val="32"/>
          <w:szCs w:val="32"/>
        </w:rPr>
        <w:t>2.论文成果须提交期刊首、末页及论文复印件，获奖须提交获奖证书复印件、课题成果须提交认定书及相关官方证明材料，并均需验原件；</w:t>
      </w:r>
    </w:p>
    <w:p w14:paraId="3784827D">
      <w:pPr>
        <w:pStyle w:val="7"/>
        <w:widowControl/>
        <w:numPr>
          <w:ilvl w:val="255"/>
          <w:numId w:val="0"/>
        </w:numPr>
        <w:spacing w:beforeAutospacing="0" w:afterAutospacing="0" w:line="360" w:lineRule="auto"/>
        <w:ind w:firstLine="640" w:firstLineChars="200"/>
        <w:jc w:val="both"/>
        <w:rPr>
          <w:rStyle w:val="11"/>
          <w:rFonts w:hint="eastAsia" w:ascii="仿宋" w:hAnsi="仿宋" w:eastAsia="仿宋" w:cs="仿宋"/>
          <w:b w:val="0"/>
          <w:bCs/>
          <w:color w:val="000000"/>
          <w:kern w:val="2"/>
          <w:sz w:val="32"/>
          <w:szCs w:val="32"/>
        </w:rPr>
      </w:pPr>
      <w:r>
        <w:rPr>
          <w:rStyle w:val="11"/>
          <w:rFonts w:hint="eastAsia" w:ascii="仿宋" w:hAnsi="仿宋" w:eastAsia="仿宋" w:cs="仿宋"/>
          <w:b w:val="0"/>
          <w:bCs/>
          <w:color w:val="000000"/>
          <w:sz w:val="32"/>
          <w:szCs w:val="32"/>
        </w:rPr>
        <w:t>3.科研创作成果最高限定为300分；</w:t>
      </w:r>
    </w:p>
    <w:p w14:paraId="718EBD7E">
      <w:pPr>
        <w:pStyle w:val="7"/>
        <w:widowControl/>
        <w:numPr>
          <w:ilvl w:val="255"/>
          <w:numId w:val="0"/>
        </w:numPr>
        <w:spacing w:beforeAutospacing="0" w:afterAutospacing="0" w:line="360" w:lineRule="auto"/>
        <w:ind w:firstLine="640" w:firstLineChars="200"/>
        <w:jc w:val="both"/>
        <w:rPr>
          <w:rStyle w:val="11"/>
          <w:rFonts w:hint="eastAsia" w:ascii="仿宋" w:hAnsi="仿宋" w:eastAsia="仿宋" w:cs="仿宋"/>
          <w:b w:val="0"/>
          <w:bCs/>
          <w:color w:val="000000"/>
          <w:kern w:val="2"/>
          <w:sz w:val="32"/>
          <w:szCs w:val="32"/>
        </w:rPr>
      </w:pPr>
      <w:r>
        <w:rPr>
          <w:rStyle w:val="11"/>
          <w:rFonts w:hint="eastAsia" w:ascii="仿宋" w:hAnsi="仿宋" w:eastAsia="仿宋" w:cs="仿宋"/>
          <w:b w:val="0"/>
          <w:bCs/>
          <w:color w:val="000000"/>
          <w:sz w:val="32"/>
          <w:szCs w:val="32"/>
        </w:rPr>
        <w:t>4.以课题作为科研成果的，同一课题在不同学年进行的立项和结题，不能重复加分。如某研究生作为某省级科研课题的负责人，第一年已使用该课题“立项”加分40分，则第二年该课题“结题”时只加分差（60-40）=20；如果第一年没有使用该课题加分，则该课题可以“作为负责人立项并结题”一并加60分；</w:t>
      </w:r>
    </w:p>
    <w:p w14:paraId="0C087194">
      <w:pPr>
        <w:pStyle w:val="7"/>
        <w:widowControl/>
        <w:spacing w:beforeAutospacing="0" w:afterAutospacing="0"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5.同一获奖作品及科研成果获多个奖项按最高获奖等次进行加分。</w:t>
      </w:r>
    </w:p>
    <w:p w14:paraId="55FD640F">
      <w:pPr>
        <w:pStyle w:val="7"/>
        <w:widowControl/>
        <w:spacing w:beforeAutospacing="0" w:afterAutospacing="0" w:line="360" w:lineRule="auto"/>
        <w:jc w:val="both"/>
        <w:rPr>
          <w:rFonts w:hint="eastAsia" w:ascii="仿宋" w:hAnsi="仿宋" w:eastAsia="仿宋" w:cs="仿宋"/>
          <w:color w:val="333333"/>
          <w:sz w:val="32"/>
          <w:szCs w:val="32"/>
        </w:rPr>
      </w:pPr>
      <w:r>
        <w:rPr>
          <w:rFonts w:hint="eastAsia" w:ascii="仿宋" w:hAnsi="仿宋" w:eastAsia="仿宋" w:cs="仿宋"/>
          <w:color w:val="000000"/>
          <w:sz w:val="32"/>
          <w:szCs w:val="32"/>
        </w:rPr>
        <w:t>（三）平时表现得分方法（满分100分）</w:t>
      </w:r>
    </w:p>
    <w:p w14:paraId="76D3ABEB">
      <w:pPr>
        <w:pStyle w:val="7"/>
        <w:widowControl/>
        <w:spacing w:beforeAutospacing="0" w:afterAutospacing="0" w:line="360" w:lineRule="auto"/>
        <w:ind w:firstLine="841" w:firstLineChars="263"/>
        <w:jc w:val="both"/>
        <w:rPr>
          <w:rFonts w:hint="eastAsia" w:ascii="仿宋" w:hAnsi="仿宋" w:eastAsia="仿宋" w:cs="仿宋"/>
          <w:sz w:val="32"/>
          <w:szCs w:val="32"/>
        </w:rPr>
      </w:pPr>
      <w:r>
        <w:rPr>
          <w:rFonts w:hint="eastAsia" w:ascii="仿宋" w:hAnsi="仿宋" w:eastAsia="仿宋" w:cs="仿宋"/>
          <w:color w:val="000000"/>
          <w:sz w:val="32"/>
          <w:szCs w:val="32"/>
        </w:rPr>
        <w:t>依据</w:t>
      </w:r>
      <w:r>
        <w:rPr>
          <w:rFonts w:hint="eastAsia" w:ascii="仿宋" w:hAnsi="仿宋" w:eastAsia="仿宋" w:cs="仿宋"/>
          <w:color w:val="000000"/>
          <w:sz w:val="32"/>
          <w:szCs w:val="32"/>
          <w:lang w:eastAsia="zh-CN"/>
        </w:rPr>
        <w:t>艺术科技与管理学院</w:t>
      </w:r>
      <w:r>
        <w:rPr>
          <w:rFonts w:hint="eastAsia" w:ascii="仿宋" w:hAnsi="仿宋" w:eastAsia="仿宋" w:cs="仿宋"/>
          <w:color w:val="000000"/>
          <w:sz w:val="32"/>
          <w:szCs w:val="32"/>
        </w:rPr>
        <w:t>研究生综合测评考核办法评分计算。实践学分计入综合测评</w:t>
      </w:r>
      <w:r>
        <w:rPr>
          <w:rFonts w:hint="eastAsia" w:ascii="仿宋" w:hAnsi="仿宋" w:eastAsia="仿宋" w:cs="仿宋"/>
          <w:sz w:val="32"/>
          <w:szCs w:val="32"/>
        </w:rPr>
        <w:t>分数折算为：</w:t>
      </w:r>
    </w:p>
    <w:tbl>
      <w:tblPr>
        <w:tblStyle w:val="9"/>
        <w:tblW w:w="6804"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3353"/>
        <w:gridCol w:w="1140"/>
      </w:tblGrid>
      <w:tr w14:paraId="7231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311" w:type="dxa"/>
            <w:vMerge w:val="restart"/>
          </w:tcPr>
          <w:p w14:paraId="421B73E5">
            <w:pPr>
              <w:widowControl/>
              <w:jc w:val="center"/>
              <w:textAlignment w:val="top"/>
              <w:rPr>
                <w:rFonts w:hint="eastAsia" w:ascii="仿宋" w:hAnsi="仿宋" w:eastAsia="仿宋" w:cs="仿宋"/>
                <w:kern w:val="0"/>
                <w:sz w:val="28"/>
                <w:szCs w:val="28"/>
                <w:shd w:val="clear" w:color="auto" w:fill="FFFFFF"/>
              </w:rPr>
            </w:pPr>
          </w:p>
          <w:p w14:paraId="3239FDA5">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实践学分加分</w:t>
            </w:r>
          </w:p>
        </w:tc>
        <w:tc>
          <w:tcPr>
            <w:tcW w:w="3353" w:type="dxa"/>
          </w:tcPr>
          <w:p w14:paraId="75C47A88">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实践学分3分及以上</w:t>
            </w:r>
          </w:p>
        </w:tc>
        <w:tc>
          <w:tcPr>
            <w:tcW w:w="1140" w:type="dxa"/>
          </w:tcPr>
          <w:p w14:paraId="0D9D9A36">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10分</w:t>
            </w:r>
          </w:p>
        </w:tc>
      </w:tr>
      <w:tr w14:paraId="756E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311" w:type="dxa"/>
            <w:vMerge w:val="continue"/>
            <w:vAlign w:val="center"/>
          </w:tcPr>
          <w:p w14:paraId="7A66856C">
            <w:pPr>
              <w:jc w:val="left"/>
              <w:textAlignment w:val="top"/>
              <w:rPr>
                <w:rFonts w:hint="eastAsia" w:ascii="仿宋" w:hAnsi="仿宋" w:eastAsia="仿宋" w:cs="仿宋"/>
                <w:kern w:val="0"/>
                <w:sz w:val="28"/>
                <w:szCs w:val="28"/>
                <w:shd w:val="clear" w:color="auto" w:fill="FFFFFF"/>
              </w:rPr>
            </w:pPr>
          </w:p>
        </w:tc>
        <w:tc>
          <w:tcPr>
            <w:tcW w:w="3353" w:type="dxa"/>
          </w:tcPr>
          <w:p w14:paraId="4A19690F">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实践学分4分及以上</w:t>
            </w:r>
          </w:p>
        </w:tc>
        <w:tc>
          <w:tcPr>
            <w:tcW w:w="1140" w:type="dxa"/>
          </w:tcPr>
          <w:p w14:paraId="4BE042C9">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15分</w:t>
            </w:r>
          </w:p>
        </w:tc>
      </w:tr>
      <w:tr w14:paraId="503E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11" w:type="dxa"/>
            <w:vMerge w:val="continue"/>
          </w:tcPr>
          <w:p w14:paraId="3A98E86A">
            <w:pPr>
              <w:widowControl/>
              <w:jc w:val="left"/>
              <w:textAlignment w:val="top"/>
              <w:rPr>
                <w:rFonts w:hint="eastAsia" w:ascii="仿宋" w:hAnsi="仿宋" w:eastAsia="仿宋" w:cs="仿宋"/>
                <w:kern w:val="0"/>
                <w:sz w:val="28"/>
                <w:szCs w:val="28"/>
                <w:shd w:val="clear" w:color="auto" w:fill="FFFFFF"/>
              </w:rPr>
            </w:pPr>
          </w:p>
        </w:tc>
        <w:tc>
          <w:tcPr>
            <w:tcW w:w="3353" w:type="dxa"/>
          </w:tcPr>
          <w:p w14:paraId="17190F4A">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实践学分5分及以上</w:t>
            </w:r>
          </w:p>
        </w:tc>
        <w:tc>
          <w:tcPr>
            <w:tcW w:w="1140" w:type="dxa"/>
          </w:tcPr>
          <w:p w14:paraId="376C4920">
            <w:pPr>
              <w:widowControl/>
              <w:jc w:val="center"/>
              <w:textAlignment w:val="top"/>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20分</w:t>
            </w:r>
          </w:p>
        </w:tc>
      </w:tr>
    </w:tbl>
    <w:p w14:paraId="5695FDCF">
      <w:pPr>
        <w:pStyle w:val="7"/>
        <w:widowControl/>
        <w:spacing w:beforeAutospacing="0" w:afterAutospacing="0" w:line="360" w:lineRule="auto"/>
        <w:jc w:val="both"/>
        <w:rPr>
          <w:rStyle w:val="11"/>
          <w:rFonts w:hint="eastAsia" w:ascii="仿宋" w:hAnsi="仿宋" w:eastAsia="仿宋" w:cs="仿宋"/>
          <w:color w:val="000000"/>
          <w:sz w:val="32"/>
          <w:szCs w:val="32"/>
        </w:rPr>
      </w:pPr>
    </w:p>
    <w:p w14:paraId="76AB7B9A">
      <w:pPr>
        <w:pStyle w:val="7"/>
        <w:widowControl/>
        <w:spacing w:beforeAutospacing="0" w:afterAutospacing="0" w:line="360" w:lineRule="auto"/>
        <w:jc w:val="both"/>
        <w:rPr>
          <w:rStyle w:val="11"/>
          <w:rFonts w:hint="eastAsia" w:ascii="仿宋" w:hAnsi="仿宋" w:eastAsia="仿宋" w:cs="仿宋"/>
          <w:color w:val="000000"/>
          <w:sz w:val="32"/>
          <w:szCs w:val="32"/>
        </w:rPr>
      </w:pPr>
    </w:p>
    <w:p w14:paraId="156B8A85">
      <w:pPr>
        <w:pStyle w:val="7"/>
        <w:widowControl/>
        <w:spacing w:beforeAutospacing="0" w:afterAutospacing="0" w:line="360" w:lineRule="auto"/>
        <w:jc w:val="both"/>
        <w:rPr>
          <w:rFonts w:hint="eastAsia" w:ascii="仿宋" w:hAnsi="仿宋" w:eastAsia="仿宋" w:cs="仿宋"/>
          <w:color w:val="333333"/>
          <w:sz w:val="32"/>
          <w:szCs w:val="32"/>
        </w:rPr>
      </w:pPr>
      <w:r>
        <w:rPr>
          <w:rStyle w:val="11"/>
          <w:rFonts w:hint="eastAsia" w:ascii="仿宋" w:hAnsi="仿宋" w:eastAsia="仿宋" w:cs="仿宋"/>
          <w:color w:val="000000"/>
          <w:sz w:val="32"/>
          <w:szCs w:val="32"/>
        </w:rPr>
        <w:t>五、评定比例和奖额</w:t>
      </w:r>
    </w:p>
    <w:p w14:paraId="7C3CBD65">
      <w:pPr>
        <w:pStyle w:val="7"/>
        <w:widowControl/>
        <w:spacing w:beforeAutospacing="0" w:afterAutospacing="0" w:line="360" w:lineRule="auto"/>
        <w:ind w:firstLine="363"/>
        <w:jc w:val="both"/>
        <w:rPr>
          <w:rFonts w:hint="eastAsia" w:ascii="仿宋" w:hAnsi="仿宋" w:eastAsia="仿宋" w:cs="仿宋"/>
          <w:color w:val="333333"/>
          <w:sz w:val="32"/>
          <w:szCs w:val="32"/>
        </w:rPr>
      </w:pPr>
      <w:r>
        <w:rPr>
          <w:rFonts w:hint="eastAsia" w:ascii="仿宋" w:hAnsi="仿宋" w:eastAsia="仿宋" w:cs="仿宋"/>
          <w:color w:val="000000"/>
          <w:sz w:val="32"/>
          <w:szCs w:val="32"/>
        </w:rPr>
        <w:t>以当年学校下发文件</w:t>
      </w:r>
      <w:r>
        <w:rPr>
          <w:rFonts w:hint="eastAsia" w:ascii="仿宋" w:hAnsi="仿宋" w:eastAsia="仿宋" w:cs="仿宋"/>
          <w:color w:val="000000"/>
          <w:sz w:val="32"/>
          <w:szCs w:val="32"/>
          <w:lang w:val="en-US" w:eastAsia="zh-CN"/>
        </w:rPr>
        <w:t>及硕士研究生学业奖学金评定小组确定名额</w:t>
      </w:r>
      <w:r>
        <w:rPr>
          <w:rFonts w:hint="eastAsia" w:ascii="仿宋" w:hAnsi="仿宋" w:eastAsia="仿宋" w:cs="仿宋"/>
          <w:color w:val="000000"/>
          <w:sz w:val="32"/>
          <w:szCs w:val="32"/>
        </w:rPr>
        <w:t>为准。</w:t>
      </w:r>
    </w:p>
    <w:p w14:paraId="413AC6CD">
      <w:pPr>
        <w:pStyle w:val="7"/>
        <w:widowControl/>
        <w:numPr>
          <w:ilvl w:val="0"/>
          <w:numId w:val="3"/>
        </w:numPr>
        <w:spacing w:beforeAutospacing="0" w:afterAutospacing="0" w:line="360" w:lineRule="auto"/>
        <w:jc w:val="both"/>
        <w:rPr>
          <w:rStyle w:val="11"/>
          <w:rFonts w:hint="eastAsia" w:ascii="仿宋" w:hAnsi="仿宋" w:eastAsia="仿宋" w:cs="仿宋"/>
          <w:color w:val="000000"/>
          <w:sz w:val="32"/>
          <w:szCs w:val="32"/>
        </w:rPr>
      </w:pPr>
      <w:r>
        <w:rPr>
          <w:rStyle w:val="11"/>
          <w:rFonts w:hint="eastAsia" w:ascii="仿宋" w:hAnsi="仿宋" w:eastAsia="仿宋" w:cs="仿宋"/>
          <w:color w:val="000000"/>
          <w:sz w:val="32"/>
          <w:szCs w:val="32"/>
        </w:rPr>
        <w:t>评定程序</w:t>
      </w:r>
    </w:p>
    <w:p w14:paraId="1B2EFEB4">
      <w:pPr>
        <w:keepNext w:val="0"/>
        <w:keepLines w:val="0"/>
        <w:pageBreakBefore w:val="0"/>
        <w:widowControl/>
        <w:kinsoku/>
        <w:wordWrap/>
        <w:overflowPunct/>
        <w:topLinePunct w:val="0"/>
        <w:bidi w:val="0"/>
        <w:snapToGrid/>
        <w:spacing w:line="56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学制内高年级学业奖学金评定采用申报制，由研究生根据自己的情况和学校的评选条件提出申请；</w:t>
      </w:r>
      <w:r>
        <w:rPr>
          <w:rFonts w:hint="eastAsia" w:ascii="仿宋" w:hAnsi="仿宋" w:eastAsia="仿宋" w:cs="仿宋"/>
          <w:b/>
          <w:bCs/>
          <w:color w:val="FF0000"/>
          <w:sz w:val="32"/>
          <w:szCs w:val="32"/>
          <w:highlight w:val="none"/>
          <w:lang w:val="en-US" w:eastAsia="zh-CN"/>
        </w:rPr>
        <w:t>学生须同步在学工系统中完成线上申请（操作手册详见附件）。</w:t>
      </w:r>
      <w:r>
        <w:rPr>
          <w:rFonts w:hint="eastAsia" w:ascii="仿宋" w:hAnsi="仿宋" w:eastAsia="仿宋" w:cs="仿宋"/>
          <w:color w:val="000000"/>
          <w:sz w:val="32"/>
          <w:szCs w:val="32"/>
        </w:rPr>
        <w:t>一年级研究生</w:t>
      </w:r>
      <w:r>
        <w:rPr>
          <w:rFonts w:hint="eastAsia" w:ascii="仿宋" w:hAnsi="仿宋" w:eastAsia="仿宋" w:cs="仿宋"/>
          <w:color w:val="000000"/>
          <w:sz w:val="32"/>
          <w:szCs w:val="32"/>
          <w:lang w:val="en-US" w:eastAsia="zh-CN"/>
        </w:rPr>
        <w:t>学业奖学金不设等次。</w:t>
      </w:r>
    </w:p>
    <w:p w14:paraId="43B073FB">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（二）高年级学生必须提供能证明自己所获奖项的辅助材料。</w:t>
      </w:r>
    </w:p>
    <w:p w14:paraId="635E3B2C">
      <w:pPr>
        <w:pStyle w:val="7"/>
        <w:widowControl/>
        <w:spacing w:beforeAutospacing="0" w:afterAutospacing="0" w:line="360" w:lineRule="auto"/>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（三）学生提交材料至所在院系学业奖学金评审委员会，由学业奖学金评审委员会审核材料，</w:t>
      </w:r>
      <w:r>
        <w:rPr>
          <w:rFonts w:hint="eastAsia" w:ascii="仿宋" w:hAnsi="仿宋" w:eastAsia="仿宋" w:cs="仿宋"/>
          <w:color w:val="000000"/>
          <w:sz w:val="32"/>
          <w:szCs w:val="32"/>
          <w:lang w:val="en-US" w:eastAsia="zh-CN"/>
        </w:rPr>
        <w:t>根据年级专业比例进行名额确定，</w:t>
      </w:r>
      <w:r>
        <w:rPr>
          <w:rFonts w:hint="eastAsia" w:ascii="仿宋" w:hAnsi="仿宋" w:eastAsia="仿宋" w:cs="仿宋"/>
          <w:color w:val="000000"/>
          <w:sz w:val="32"/>
          <w:szCs w:val="32"/>
        </w:rPr>
        <w:t>综合打分，评定等次。</w:t>
      </w:r>
    </w:p>
    <w:p w14:paraId="311102C4">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（四）院系名单公示。</w:t>
      </w:r>
    </w:p>
    <w:p w14:paraId="74A3F5BD">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（五）上报学校学业奖学金领导小组审定。</w:t>
      </w:r>
    </w:p>
    <w:p w14:paraId="51173A03">
      <w:pPr>
        <w:pStyle w:val="7"/>
        <w:widowControl/>
        <w:spacing w:beforeAutospacing="0" w:afterAutospacing="0" w:line="360" w:lineRule="auto"/>
        <w:ind w:firstLine="320" w:firstLineChars="100"/>
        <w:jc w:val="both"/>
        <w:rPr>
          <w:rFonts w:hint="eastAsia" w:ascii="仿宋" w:hAnsi="仿宋" w:eastAsia="仿宋" w:cs="仿宋"/>
          <w:color w:val="333333"/>
          <w:sz w:val="32"/>
          <w:szCs w:val="32"/>
        </w:rPr>
      </w:pPr>
      <w:r>
        <w:rPr>
          <w:rFonts w:hint="eastAsia" w:ascii="仿宋" w:hAnsi="仿宋" w:eastAsia="仿宋" w:cs="仿宋"/>
          <w:color w:val="000000"/>
          <w:sz w:val="32"/>
          <w:szCs w:val="32"/>
        </w:rPr>
        <w:t>（六）校级名单公示。</w:t>
      </w:r>
    </w:p>
    <w:p w14:paraId="031963BA">
      <w:pPr>
        <w:pStyle w:val="7"/>
        <w:widowControl/>
        <w:spacing w:beforeAutospacing="0" w:afterAutospacing="0" w:line="360" w:lineRule="auto"/>
        <w:jc w:val="both"/>
        <w:rPr>
          <w:rFonts w:hint="eastAsia" w:ascii="仿宋" w:hAnsi="仿宋" w:eastAsia="仿宋" w:cs="仿宋"/>
          <w:b/>
          <w:bCs w:val="0"/>
          <w:color w:val="000000"/>
          <w:sz w:val="32"/>
          <w:szCs w:val="32"/>
        </w:rPr>
      </w:pPr>
      <w:r>
        <w:rPr>
          <w:rStyle w:val="11"/>
          <w:rFonts w:hint="eastAsia" w:ascii="仿宋" w:hAnsi="仿宋" w:eastAsia="仿宋" w:cs="仿宋"/>
          <w:b/>
          <w:bCs w:val="0"/>
          <w:color w:val="000000"/>
          <w:sz w:val="32"/>
          <w:szCs w:val="32"/>
        </w:rPr>
        <w:t>七、</w:t>
      </w:r>
      <w:r>
        <w:rPr>
          <w:rFonts w:hint="eastAsia" w:ascii="仿宋" w:hAnsi="仿宋" w:eastAsia="仿宋" w:cs="仿宋"/>
          <w:b/>
          <w:bCs w:val="0"/>
          <w:color w:val="000000"/>
          <w:sz w:val="32"/>
          <w:szCs w:val="32"/>
        </w:rPr>
        <w:t>本办法由上海戏剧学院</w:t>
      </w:r>
      <w:r>
        <w:rPr>
          <w:rFonts w:hint="eastAsia" w:ascii="仿宋" w:hAnsi="仿宋" w:eastAsia="仿宋" w:cs="仿宋"/>
          <w:b/>
          <w:bCs w:val="0"/>
          <w:color w:val="000000"/>
          <w:sz w:val="32"/>
          <w:szCs w:val="32"/>
          <w:lang w:eastAsia="zh-CN"/>
        </w:rPr>
        <w:t>艺术科技与管理学院</w:t>
      </w:r>
      <w:r>
        <w:rPr>
          <w:rFonts w:hint="eastAsia" w:ascii="仿宋" w:hAnsi="仿宋" w:eastAsia="仿宋" w:cs="仿宋"/>
          <w:b/>
          <w:bCs w:val="0"/>
          <w:color w:val="000000"/>
          <w:sz w:val="32"/>
          <w:szCs w:val="32"/>
        </w:rPr>
        <w:t>负责解释。</w:t>
      </w:r>
    </w:p>
    <w:p w14:paraId="292C2C91">
      <w:pPr>
        <w:pStyle w:val="7"/>
        <w:widowControl/>
        <w:spacing w:beforeAutospacing="0" w:afterAutospacing="0" w:line="360" w:lineRule="auto"/>
        <w:jc w:val="both"/>
        <w:rPr>
          <w:rStyle w:val="11"/>
          <w:rFonts w:hint="eastAsia" w:ascii="仿宋" w:hAnsi="仿宋" w:eastAsia="仿宋" w:cs="仿宋"/>
          <w:color w:val="000000"/>
          <w:sz w:val="32"/>
          <w:szCs w:val="32"/>
        </w:rPr>
      </w:pPr>
      <w:r>
        <w:rPr>
          <w:rStyle w:val="11"/>
          <w:rFonts w:hint="eastAsia" w:ascii="仿宋" w:hAnsi="仿宋" w:eastAsia="仿宋" w:cs="仿宋"/>
          <w:color w:val="000000"/>
          <w:sz w:val="32"/>
          <w:szCs w:val="32"/>
        </w:rPr>
        <w:t>八、本办法自公布之日起生效。</w:t>
      </w:r>
    </w:p>
    <w:p w14:paraId="35694AE3">
      <w:pPr>
        <w:pStyle w:val="7"/>
        <w:widowControl/>
        <w:spacing w:beforeAutospacing="0" w:afterAutospacing="0" w:line="360" w:lineRule="auto"/>
        <w:jc w:val="right"/>
        <w:rPr>
          <w:rStyle w:val="11"/>
          <w:rFonts w:hint="eastAsia" w:ascii="仿宋" w:hAnsi="仿宋" w:eastAsia="仿宋" w:cs="仿宋"/>
          <w:b w:val="0"/>
          <w:bCs/>
          <w:color w:val="000000"/>
          <w:sz w:val="32"/>
          <w:szCs w:val="32"/>
          <w:lang w:val="en-US" w:eastAsia="zh-CN"/>
        </w:rPr>
      </w:pPr>
      <w:r>
        <w:rPr>
          <w:rStyle w:val="11"/>
          <w:rFonts w:hint="eastAsia" w:ascii="仿宋" w:hAnsi="仿宋" w:eastAsia="仿宋" w:cs="仿宋"/>
          <w:b w:val="0"/>
          <w:bCs/>
          <w:color w:val="000000"/>
          <w:sz w:val="32"/>
          <w:szCs w:val="32"/>
          <w:lang w:val="en-US" w:eastAsia="zh-CN"/>
        </w:rPr>
        <w:t>艺术科技与管理学院</w:t>
      </w:r>
    </w:p>
    <w:p w14:paraId="217D9601">
      <w:pPr>
        <w:pStyle w:val="7"/>
        <w:widowControl/>
        <w:spacing w:beforeAutospacing="0" w:afterAutospacing="0" w:line="360" w:lineRule="auto"/>
        <w:jc w:val="right"/>
        <w:rPr>
          <w:rStyle w:val="11"/>
          <w:rFonts w:hint="default" w:ascii="仿宋" w:hAnsi="仿宋" w:eastAsia="仿宋" w:cs="仿宋"/>
          <w:b w:val="0"/>
          <w:bCs/>
          <w:color w:val="000000"/>
          <w:sz w:val="32"/>
          <w:szCs w:val="32"/>
          <w:lang w:val="en-US" w:eastAsia="zh-CN"/>
        </w:rPr>
      </w:pPr>
      <w:r>
        <w:rPr>
          <w:rStyle w:val="11"/>
          <w:rFonts w:hint="eastAsia" w:ascii="仿宋" w:hAnsi="仿宋" w:eastAsia="仿宋" w:cs="仿宋"/>
          <w:b w:val="0"/>
          <w:bCs/>
          <w:color w:val="000000"/>
          <w:sz w:val="32"/>
          <w:szCs w:val="32"/>
          <w:lang w:val="en-US" w:eastAsia="zh-CN"/>
        </w:rPr>
        <w:t>2025年10月27日</w:t>
      </w:r>
    </w:p>
    <w:p w14:paraId="2039A164">
      <w:pPr>
        <w:jc w:val="right"/>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br w:type="page"/>
      </w:r>
    </w:p>
    <w:p w14:paraId="4B1921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b/>
          <w:bCs/>
          <w:color w:val="000000" w:themeColor="text1"/>
          <w:sz w:val="32"/>
          <w:szCs w:val="32"/>
          <w14:textFill>
            <w14:solidFill>
              <w14:schemeClr w14:val="tx1"/>
            </w14:solidFill>
          </w14:textFill>
        </w:rPr>
      </w:pPr>
    </w:p>
    <w:p w14:paraId="4E66B54D">
      <w:pPr>
        <w:autoSpaceDE w:val="0"/>
        <w:autoSpaceDN w:val="0"/>
        <w:adjustRightInd w:val="0"/>
        <w:spacing w:after="200"/>
        <w:jc w:val="center"/>
        <w:rPr>
          <w:rFonts w:hint="default" w:ascii="Times New Roman" w:hAnsi="Times New Roman" w:eastAsia="华文中宋" w:cs="Times New Roman"/>
          <w:b/>
          <w:bCs/>
          <w:color w:val="000000" w:themeColor="text1"/>
          <w:sz w:val="36"/>
          <w:szCs w:val="36"/>
          <w14:textFill>
            <w14:solidFill>
              <w14:schemeClr w14:val="tx1"/>
            </w14:solidFill>
          </w14:textFill>
        </w:rPr>
      </w:pPr>
      <w:r>
        <w:rPr>
          <w:rFonts w:hint="default" w:ascii="Times New Roman" w:hAnsi="Times New Roman" w:eastAsia="华文中宋" w:cs="Times New Roman"/>
          <w:b/>
          <w:bCs/>
          <w:color w:val="000000" w:themeColor="text1"/>
          <w:sz w:val="36"/>
          <w:szCs w:val="36"/>
          <w14:textFill>
            <w14:solidFill>
              <w14:schemeClr w14:val="tx1"/>
            </w14:solidFill>
          </w14:textFill>
        </w:rPr>
        <w:t>202</w:t>
      </w:r>
      <w:r>
        <w:rPr>
          <w:rFonts w:hint="default" w:ascii="Times New Roman" w:hAnsi="Times New Roman" w:eastAsia="华文中宋" w:cs="Times New Roman"/>
          <w:b/>
          <w:bCs/>
          <w:color w:val="000000" w:themeColor="text1"/>
          <w:sz w:val="36"/>
          <w:szCs w:val="36"/>
          <w:lang w:val="en-US" w:eastAsia="zh-CN"/>
          <w14:textFill>
            <w14:solidFill>
              <w14:schemeClr w14:val="tx1"/>
            </w14:solidFill>
          </w14:textFill>
        </w:rPr>
        <w:t>4</w:t>
      </w:r>
      <w:r>
        <w:rPr>
          <w:rFonts w:hint="default" w:ascii="Times New Roman" w:hAnsi="Times New Roman" w:eastAsia="华文中宋" w:cs="Times New Roman"/>
          <w:b/>
          <w:bCs/>
          <w:color w:val="000000" w:themeColor="text1"/>
          <w:sz w:val="36"/>
          <w:szCs w:val="36"/>
          <w14:textFill>
            <w14:solidFill>
              <w14:schemeClr w14:val="tx1"/>
            </w14:solidFill>
          </w14:textFill>
        </w:rPr>
        <w:t>-202</w:t>
      </w:r>
      <w:r>
        <w:rPr>
          <w:rFonts w:hint="default" w:ascii="Times New Roman" w:hAnsi="Times New Roman" w:eastAsia="华文中宋" w:cs="Times New Roman"/>
          <w:b/>
          <w:bCs/>
          <w:color w:val="000000" w:themeColor="text1"/>
          <w:sz w:val="36"/>
          <w:szCs w:val="36"/>
          <w:lang w:val="en-US" w:eastAsia="zh-CN"/>
          <w14:textFill>
            <w14:solidFill>
              <w14:schemeClr w14:val="tx1"/>
            </w14:solidFill>
          </w14:textFill>
        </w:rPr>
        <w:t>5</w:t>
      </w:r>
      <w:r>
        <w:rPr>
          <w:rFonts w:hint="default" w:ascii="Times New Roman" w:hAnsi="Times New Roman" w:eastAsia="华文中宋" w:cs="Times New Roman"/>
          <w:b/>
          <w:bCs/>
          <w:color w:val="000000" w:themeColor="text1"/>
          <w:sz w:val="36"/>
          <w:szCs w:val="36"/>
          <w14:textFill>
            <w14:solidFill>
              <w14:schemeClr w14:val="tx1"/>
            </w14:solidFill>
          </w14:textFill>
        </w:rPr>
        <w:t>学年硕士研究生学业奖学金</w:t>
      </w:r>
    </w:p>
    <w:p w14:paraId="72E4C8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院系名额分配</w:t>
      </w:r>
      <w:r>
        <w:rPr>
          <w:rFonts w:hint="default" w:ascii="Times New Roman" w:hAnsi="Times New Roman" w:eastAsia="方正小标宋简体" w:cs="Times New Roman"/>
          <w:b/>
          <w:bCs/>
          <w:color w:val="000000" w:themeColor="text1"/>
          <w:sz w:val="36"/>
          <w:szCs w:val="36"/>
          <w:lang w:val="en-US" w:eastAsia="zh-CN"/>
          <w14:textFill>
            <w14:solidFill>
              <w14:schemeClr w14:val="tx1"/>
            </w14:solidFill>
          </w14:textFill>
        </w:rPr>
        <w:t>情况</w:t>
      </w:r>
    </w:p>
    <w:p w14:paraId="05DAC6A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根据《上海市教育委员会 上海市财政局 上海市退役军人事务局 上海市人民政府征兵办公室&lt;关于印发上海市普通高等学校学生资助资金管理实施办法&gt;的通知》（沪教委规〔2025〕8号）、《上海市普通高等学校学生资助资金管理实施办法》（沪教委规〔2020〕2号）、《上海戏剧学院研究生学业奖学金评审办法（2025年修订）》等文件要求，学校研究生</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学业</w:t>
      </w:r>
      <w:r>
        <w:rPr>
          <w:rFonts w:hint="default" w:ascii="Times New Roman" w:hAnsi="Times New Roman" w:eastAsia="仿宋_GB2312" w:cs="Times New Roman"/>
          <w:color w:val="000000" w:themeColor="text1"/>
          <w:sz w:val="28"/>
          <w:szCs w:val="28"/>
          <w14:textFill>
            <w14:solidFill>
              <w14:schemeClr w14:val="tx1"/>
            </w14:solidFill>
          </w14:textFill>
        </w:rPr>
        <w:t>奖学金评审领导小组根据各院系具有参评资格的研究生人数并结合具体情况，确定名额分配方案</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14358DA6">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1、一年级硕士研究生学业奖学金不设等次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p w14:paraId="3615F474">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_GB2312" w:cs="Times New Roman"/>
          <w:color w:val="000000" w:themeColor="text1"/>
          <w:sz w:val="28"/>
          <w:szCs w:val="28"/>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2、学制内高年级符合条件的研究生，各院系得奖名额分别按照各院系符合申报条件硕士研究生总人数</w:t>
      </w:r>
      <w:r>
        <w:rPr>
          <w:rFonts w:hint="eastAsia"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的1</w:t>
      </w:r>
      <w:r>
        <w:rPr>
          <w:rFonts w:hint="default"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%、25%和3</w:t>
      </w:r>
      <w:r>
        <w:rPr>
          <w:rFonts w:hint="default" w:ascii="Times New Roman" w:hAnsi="Times New Roman" w:eastAsia="仿宋_GB2312" w:cs="Times New Roman"/>
          <w:color w:val="000000" w:themeColor="text1"/>
          <w:sz w:val="28"/>
          <w:szCs w:val="28"/>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%，名额分配如下</w:t>
      </w:r>
      <w:r>
        <w:rPr>
          <w:rFonts w:hint="eastAsia" w:ascii="Times New Roman" w:hAnsi="Times New Roman" w:eastAsia="仿宋_GB2312" w:cs="Times New Roman"/>
          <w:color w:val="000000" w:themeColor="text1"/>
          <w:sz w:val="28"/>
          <w:szCs w:val="28"/>
          <w:shd w:val="clear" w:color="auto" w:fill="FFFFFF"/>
          <w:lang w:eastAsia="zh-CN"/>
          <w14:textFill>
            <w14:solidFill>
              <w14:schemeClr w14:val="tx1"/>
            </w14:solidFill>
          </w14:textFill>
        </w:rPr>
        <w:t>：</w:t>
      </w:r>
    </w:p>
    <w:tbl>
      <w:tblPr>
        <w:tblStyle w:val="8"/>
        <w:tblpPr w:leftFromText="180" w:rightFromText="180" w:vertAnchor="text" w:horzAnchor="page" w:tblpXSpec="center" w:tblpY="259"/>
        <w:tblOverlap w:val="never"/>
        <w:tblW w:w="8778" w:type="dxa"/>
        <w:jc w:val="center"/>
        <w:tblLayout w:type="fixed"/>
        <w:tblCellMar>
          <w:top w:w="0" w:type="dxa"/>
          <w:left w:w="108" w:type="dxa"/>
          <w:bottom w:w="0" w:type="dxa"/>
          <w:right w:w="108" w:type="dxa"/>
        </w:tblCellMar>
      </w:tblPr>
      <w:tblGrid>
        <w:gridCol w:w="1275"/>
        <w:gridCol w:w="1412"/>
        <w:gridCol w:w="860"/>
        <w:gridCol w:w="900"/>
        <w:gridCol w:w="875"/>
        <w:gridCol w:w="665"/>
        <w:gridCol w:w="763"/>
        <w:gridCol w:w="762"/>
        <w:gridCol w:w="1266"/>
      </w:tblGrid>
      <w:tr w14:paraId="599C1CC2">
        <w:tblPrEx>
          <w:tblCellMar>
            <w:top w:w="0" w:type="dxa"/>
            <w:left w:w="108" w:type="dxa"/>
            <w:bottom w:w="0" w:type="dxa"/>
            <w:right w:w="108" w:type="dxa"/>
          </w:tblCellMar>
        </w:tblPrEx>
        <w:trPr>
          <w:trHeight w:val="779" w:hRule="atLeast"/>
          <w:jc w:val="center"/>
        </w:trPr>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DB28436">
            <w:pPr>
              <w:keepNext w:val="0"/>
              <w:keepLines w:val="0"/>
              <w:pageBreakBefore w:val="0"/>
              <w:widowControl/>
              <w:kinsoku/>
              <w:wordWrap/>
              <w:overflowPunct/>
              <w:topLinePunct w:val="0"/>
              <w:autoSpaceDE/>
              <w:autoSpaceDN/>
              <w:bidi w:val="0"/>
              <w:adjustRightInd/>
              <w:snapToGrid w:val="0"/>
              <w:spacing w:line="240" w:lineRule="auto"/>
              <w:jc w:val="center"/>
              <mc:AlternateContent>
                <mc:Choice Requires="wpsCustomData">
                  <wpsCustomData:diagonalParaType/>
                </mc:Choice>
              </mc:AlternateContent>
              <w:rPr>
                <w:rFonts w:hint="default" w:ascii="Times New Roman" w:hAnsi="Times New Roman" w:eastAsia="楷体"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color w:val="000000" w:themeColor="text1"/>
                <w:sz w:val="21"/>
                <w:szCs w:val="21"/>
                <w:lang w:val="en-US" w:eastAsia="zh-CN"/>
                <w14:textFill>
                  <w14:solidFill>
                    <w14:schemeClr w14:val="tx1"/>
                  </w14:solidFill>
                </w14:textFill>
              </w:rPr>
              <w:t>等次</w:t>
            </w:r>
          </w:p>
          <w:p w14:paraId="7719D02A">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楷体"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color w:val="000000" w:themeColor="text1"/>
                <w:sz w:val="21"/>
                <w:szCs w:val="21"/>
                <w:lang w:val="en-US" w:eastAsia="zh-CN"/>
                <w14:textFill>
                  <w14:solidFill>
                    <w14:schemeClr w14:val="tx1"/>
                  </w14:solidFill>
                </w14:textFill>
              </w:rPr>
              <w:t>院</w:t>
            </w:r>
          </w:p>
          <w:p w14:paraId="6F613893">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楷体"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color w:val="000000" w:themeColor="text1"/>
                <w:sz w:val="21"/>
                <w:szCs w:val="21"/>
                <w:lang w:val="en-US" w:eastAsia="zh-CN"/>
                <w14:textFill>
                  <w14:solidFill>
                    <w14:schemeClr w14:val="tx1"/>
                  </w14:solidFill>
                </w14:textFill>
              </w:rPr>
              <w:t>系</w:t>
            </w:r>
          </w:p>
        </w:tc>
        <w:tc>
          <w:tcPr>
            <w:tcW w:w="1412" w:type="dxa"/>
            <w:tcBorders>
              <w:top w:val="single" w:color="auto" w:sz="4" w:space="0"/>
              <w:left w:val="nil"/>
              <w:bottom w:val="single" w:color="auto" w:sz="4" w:space="0"/>
              <w:right w:val="single" w:color="auto" w:sz="4" w:space="0"/>
            </w:tcBorders>
            <w:shd w:val="clear" w:color="auto" w:fill="auto"/>
            <w:noWrap/>
            <w:vAlign w:val="center"/>
          </w:tcPr>
          <w:p w14:paraId="77CA3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表演系（含音乐剧中心）</w:t>
            </w:r>
          </w:p>
        </w:tc>
        <w:tc>
          <w:tcPr>
            <w:tcW w:w="860" w:type="dxa"/>
            <w:tcBorders>
              <w:top w:val="single" w:color="auto" w:sz="4" w:space="0"/>
              <w:left w:val="nil"/>
              <w:bottom w:val="single" w:color="auto" w:sz="4" w:space="0"/>
              <w:right w:val="single" w:color="auto" w:sz="4" w:space="0"/>
            </w:tcBorders>
            <w:shd w:val="clear" w:color="auto" w:fill="auto"/>
            <w:noWrap/>
            <w:vAlign w:val="center"/>
          </w:tcPr>
          <w:p w14:paraId="1467B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舞台美术系</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690B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戏剧文学系</w:t>
            </w:r>
          </w:p>
        </w:tc>
        <w:tc>
          <w:tcPr>
            <w:tcW w:w="875" w:type="dxa"/>
            <w:tcBorders>
              <w:top w:val="single" w:color="auto" w:sz="4" w:space="0"/>
              <w:left w:val="nil"/>
              <w:bottom w:val="single" w:color="auto" w:sz="4" w:space="0"/>
              <w:right w:val="single" w:color="auto" w:sz="4" w:space="0"/>
            </w:tcBorders>
            <w:shd w:val="clear" w:color="auto" w:fill="auto"/>
            <w:noWrap/>
            <w:vAlign w:val="center"/>
          </w:tcPr>
          <w:p w14:paraId="52F86D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导演系</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6831A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电影学院</w:t>
            </w:r>
          </w:p>
        </w:tc>
        <w:tc>
          <w:tcPr>
            <w:tcW w:w="763" w:type="dxa"/>
            <w:tcBorders>
              <w:top w:val="single" w:color="auto" w:sz="4" w:space="0"/>
              <w:left w:val="nil"/>
              <w:bottom w:val="single" w:color="auto" w:sz="4" w:space="0"/>
              <w:right w:val="single" w:color="auto" w:sz="4" w:space="0"/>
            </w:tcBorders>
            <w:shd w:val="clear" w:color="auto" w:fill="auto"/>
            <w:noWrap/>
            <w:vAlign w:val="center"/>
          </w:tcPr>
          <w:p w14:paraId="601352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戏曲学院</w:t>
            </w:r>
          </w:p>
        </w:tc>
        <w:tc>
          <w:tcPr>
            <w:tcW w:w="762" w:type="dxa"/>
            <w:tcBorders>
              <w:top w:val="single" w:color="auto" w:sz="4" w:space="0"/>
              <w:left w:val="nil"/>
              <w:bottom w:val="single" w:color="auto" w:sz="4" w:space="0"/>
              <w:right w:val="single" w:color="auto" w:sz="4" w:space="0"/>
            </w:tcBorders>
            <w:shd w:val="clear" w:color="auto" w:fill="auto"/>
            <w:noWrap/>
            <w:vAlign w:val="center"/>
          </w:tcPr>
          <w:p w14:paraId="7374E2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舞蹈学院</w:t>
            </w:r>
          </w:p>
        </w:tc>
        <w:tc>
          <w:tcPr>
            <w:tcW w:w="1266" w:type="dxa"/>
            <w:tcBorders>
              <w:top w:val="single" w:color="auto" w:sz="4" w:space="0"/>
              <w:left w:val="nil"/>
              <w:bottom w:val="single" w:color="auto" w:sz="4" w:space="0"/>
              <w:right w:val="single" w:color="auto" w:sz="4" w:space="0"/>
            </w:tcBorders>
            <w:shd w:val="clear" w:color="auto" w:fill="auto"/>
            <w:noWrap/>
            <w:vAlign w:val="center"/>
          </w:tcPr>
          <w:p w14:paraId="286F68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lang w:val="en-US" w:eastAsia="zh-CN"/>
                <w14:textFill>
                  <w14:solidFill>
                    <w14:schemeClr w14:val="tx1"/>
                  </w14:solidFill>
                </w14:textFill>
              </w:rPr>
            </w:pPr>
            <w:r>
              <w:rPr>
                <w:rFonts w:hint="default" w:ascii="Times New Roman" w:hAnsi="Times New Roman" w:eastAsia="楷体" w:cs="Times New Roman"/>
                <w:color w:val="000000" w:themeColor="text1"/>
                <w:sz w:val="21"/>
                <w:szCs w:val="21"/>
                <w:lang w:val="en-US" w:eastAsia="zh-CN"/>
                <w14:textFill>
                  <w14:solidFill>
                    <w14:schemeClr w14:val="tx1"/>
                  </w14:solidFill>
                </w14:textFill>
              </w:rPr>
              <w:t>艺术科技与管理学院</w:t>
            </w:r>
          </w:p>
        </w:tc>
      </w:tr>
      <w:tr w14:paraId="24179781">
        <w:tblPrEx>
          <w:tblCellMar>
            <w:top w:w="0" w:type="dxa"/>
            <w:left w:w="108" w:type="dxa"/>
            <w:bottom w:w="0" w:type="dxa"/>
            <w:right w:w="108" w:type="dxa"/>
          </w:tblCellMar>
        </w:tblPrEx>
        <w:trPr>
          <w:trHeight w:val="227"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01D5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一等奖学金</w:t>
            </w:r>
          </w:p>
        </w:tc>
        <w:tc>
          <w:tcPr>
            <w:tcW w:w="1412" w:type="dxa"/>
            <w:tcBorders>
              <w:top w:val="nil"/>
              <w:left w:val="nil"/>
              <w:bottom w:val="single" w:color="auto" w:sz="4" w:space="0"/>
              <w:right w:val="single" w:color="auto" w:sz="4" w:space="0"/>
            </w:tcBorders>
            <w:shd w:val="clear" w:color="auto" w:fill="auto"/>
            <w:noWrap/>
            <w:vAlign w:val="center"/>
          </w:tcPr>
          <w:p w14:paraId="0F96DEB8">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4 </w:t>
            </w:r>
          </w:p>
        </w:tc>
        <w:tc>
          <w:tcPr>
            <w:tcW w:w="860" w:type="dxa"/>
            <w:tcBorders>
              <w:top w:val="nil"/>
              <w:left w:val="nil"/>
              <w:bottom w:val="single" w:color="auto" w:sz="4" w:space="0"/>
              <w:right w:val="single" w:color="auto" w:sz="4" w:space="0"/>
            </w:tcBorders>
            <w:shd w:val="clear" w:color="auto" w:fill="auto"/>
            <w:noWrap/>
            <w:vAlign w:val="center"/>
          </w:tcPr>
          <w:p w14:paraId="4A92EE87">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10 </w:t>
            </w:r>
          </w:p>
        </w:tc>
        <w:tc>
          <w:tcPr>
            <w:tcW w:w="900" w:type="dxa"/>
            <w:tcBorders>
              <w:top w:val="nil"/>
              <w:left w:val="nil"/>
              <w:bottom w:val="single" w:color="auto" w:sz="4" w:space="0"/>
              <w:right w:val="single" w:color="auto" w:sz="4" w:space="0"/>
            </w:tcBorders>
            <w:shd w:val="clear" w:color="auto" w:fill="auto"/>
            <w:noWrap/>
            <w:vAlign w:val="center"/>
          </w:tcPr>
          <w:p w14:paraId="495CDDA4">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12 </w:t>
            </w:r>
          </w:p>
        </w:tc>
        <w:tc>
          <w:tcPr>
            <w:tcW w:w="875" w:type="dxa"/>
            <w:tcBorders>
              <w:top w:val="nil"/>
              <w:left w:val="nil"/>
              <w:bottom w:val="single" w:color="auto" w:sz="4" w:space="0"/>
              <w:right w:val="single" w:color="auto" w:sz="4" w:space="0"/>
            </w:tcBorders>
            <w:shd w:val="clear" w:color="auto" w:fill="auto"/>
            <w:noWrap/>
            <w:vAlign w:val="center"/>
          </w:tcPr>
          <w:p w14:paraId="549598B4">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3 </w:t>
            </w:r>
          </w:p>
        </w:tc>
        <w:tc>
          <w:tcPr>
            <w:tcW w:w="665" w:type="dxa"/>
            <w:tcBorders>
              <w:top w:val="nil"/>
              <w:left w:val="nil"/>
              <w:bottom w:val="single" w:color="auto" w:sz="4" w:space="0"/>
              <w:right w:val="single" w:color="auto" w:sz="4" w:space="0"/>
            </w:tcBorders>
            <w:shd w:val="clear" w:color="auto" w:fill="auto"/>
            <w:noWrap/>
            <w:vAlign w:val="center"/>
          </w:tcPr>
          <w:p w14:paraId="0E7B1DD2">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11 </w:t>
            </w:r>
          </w:p>
        </w:tc>
        <w:tc>
          <w:tcPr>
            <w:tcW w:w="763" w:type="dxa"/>
            <w:tcBorders>
              <w:top w:val="nil"/>
              <w:left w:val="nil"/>
              <w:bottom w:val="single" w:color="auto" w:sz="4" w:space="0"/>
              <w:right w:val="single" w:color="auto" w:sz="4" w:space="0"/>
            </w:tcBorders>
            <w:shd w:val="clear" w:color="auto" w:fill="auto"/>
            <w:noWrap/>
            <w:vAlign w:val="center"/>
          </w:tcPr>
          <w:p w14:paraId="2C05D84E">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2 </w:t>
            </w:r>
          </w:p>
        </w:tc>
        <w:tc>
          <w:tcPr>
            <w:tcW w:w="762" w:type="dxa"/>
            <w:tcBorders>
              <w:top w:val="nil"/>
              <w:left w:val="nil"/>
              <w:bottom w:val="single" w:color="auto" w:sz="4" w:space="0"/>
              <w:right w:val="single" w:color="auto" w:sz="4" w:space="0"/>
            </w:tcBorders>
            <w:shd w:val="clear" w:color="auto" w:fill="auto"/>
            <w:noWrap/>
            <w:vAlign w:val="center"/>
          </w:tcPr>
          <w:p w14:paraId="6A4BDFD4">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4 </w:t>
            </w:r>
          </w:p>
        </w:tc>
        <w:tc>
          <w:tcPr>
            <w:tcW w:w="1266" w:type="dxa"/>
            <w:tcBorders>
              <w:top w:val="nil"/>
              <w:left w:val="nil"/>
              <w:bottom w:val="single" w:color="auto" w:sz="4" w:space="0"/>
              <w:right w:val="single" w:color="auto" w:sz="4" w:space="0"/>
            </w:tcBorders>
            <w:shd w:val="clear" w:color="auto" w:fill="auto"/>
            <w:noWrap/>
            <w:vAlign w:val="center"/>
          </w:tcPr>
          <w:p w14:paraId="1BEC552E">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9 </w:t>
            </w:r>
          </w:p>
        </w:tc>
      </w:tr>
      <w:tr w14:paraId="42585DB3">
        <w:tblPrEx>
          <w:tblCellMar>
            <w:top w:w="0" w:type="dxa"/>
            <w:left w:w="108" w:type="dxa"/>
            <w:bottom w:w="0" w:type="dxa"/>
            <w:right w:w="108" w:type="dxa"/>
          </w:tblCellMar>
        </w:tblPrEx>
        <w:trPr>
          <w:trHeight w:val="227"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D201A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二等奖学金</w:t>
            </w:r>
          </w:p>
        </w:tc>
        <w:tc>
          <w:tcPr>
            <w:tcW w:w="1412" w:type="dxa"/>
            <w:tcBorders>
              <w:top w:val="nil"/>
              <w:left w:val="nil"/>
              <w:bottom w:val="single" w:color="auto" w:sz="4" w:space="0"/>
              <w:right w:val="single" w:color="auto" w:sz="4" w:space="0"/>
            </w:tcBorders>
            <w:shd w:val="clear" w:color="auto" w:fill="auto"/>
            <w:noWrap/>
            <w:vAlign w:val="center"/>
          </w:tcPr>
          <w:p w14:paraId="4CBB06E6">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9 </w:t>
            </w:r>
          </w:p>
        </w:tc>
        <w:tc>
          <w:tcPr>
            <w:tcW w:w="860" w:type="dxa"/>
            <w:tcBorders>
              <w:top w:val="nil"/>
              <w:left w:val="nil"/>
              <w:bottom w:val="single" w:color="auto" w:sz="4" w:space="0"/>
              <w:right w:val="single" w:color="auto" w:sz="4" w:space="0"/>
            </w:tcBorders>
            <w:shd w:val="clear" w:color="auto" w:fill="auto"/>
            <w:noWrap/>
            <w:vAlign w:val="center"/>
          </w:tcPr>
          <w:p w14:paraId="0456A8FD">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26 </w:t>
            </w:r>
          </w:p>
        </w:tc>
        <w:tc>
          <w:tcPr>
            <w:tcW w:w="900" w:type="dxa"/>
            <w:tcBorders>
              <w:top w:val="nil"/>
              <w:left w:val="nil"/>
              <w:bottom w:val="single" w:color="auto" w:sz="4" w:space="0"/>
              <w:right w:val="single" w:color="auto" w:sz="4" w:space="0"/>
            </w:tcBorders>
            <w:shd w:val="clear" w:color="auto" w:fill="auto"/>
            <w:noWrap/>
            <w:vAlign w:val="center"/>
          </w:tcPr>
          <w:p w14:paraId="4CB1409C">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29</w:t>
            </w:r>
          </w:p>
        </w:tc>
        <w:tc>
          <w:tcPr>
            <w:tcW w:w="875" w:type="dxa"/>
            <w:tcBorders>
              <w:top w:val="nil"/>
              <w:left w:val="nil"/>
              <w:bottom w:val="single" w:color="auto" w:sz="4" w:space="0"/>
              <w:right w:val="single" w:color="auto" w:sz="4" w:space="0"/>
            </w:tcBorders>
            <w:shd w:val="clear" w:color="auto" w:fill="auto"/>
            <w:noWrap/>
            <w:vAlign w:val="center"/>
          </w:tcPr>
          <w:p w14:paraId="7068EDAE">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7 </w:t>
            </w:r>
          </w:p>
        </w:tc>
        <w:tc>
          <w:tcPr>
            <w:tcW w:w="665" w:type="dxa"/>
            <w:tcBorders>
              <w:top w:val="nil"/>
              <w:left w:val="nil"/>
              <w:bottom w:val="single" w:color="auto" w:sz="4" w:space="0"/>
              <w:right w:val="single" w:color="auto" w:sz="4" w:space="0"/>
            </w:tcBorders>
            <w:shd w:val="clear" w:color="auto" w:fill="auto"/>
            <w:noWrap/>
            <w:vAlign w:val="center"/>
          </w:tcPr>
          <w:p w14:paraId="3984D6C0">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28 </w:t>
            </w:r>
          </w:p>
        </w:tc>
        <w:tc>
          <w:tcPr>
            <w:tcW w:w="763" w:type="dxa"/>
            <w:tcBorders>
              <w:top w:val="nil"/>
              <w:left w:val="nil"/>
              <w:bottom w:val="single" w:color="auto" w:sz="4" w:space="0"/>
              <w:right w:val="single" w:color="auto" w:sz="4" w:space="0"/>
            </w:tcBorders>
            <w:shd w:val="clear" w:color="auto" w:fill="auto"/>
            <w:noWrap/>
            <w:vAlign w:val="center"/>
          </w:tcPr>
          <w:p w14:paraId="1D3942FE">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4 </w:t>
            </w:r>
          </w:p>
        </w:tc>
        <w:tc>
          <w:tcPr>
            <w:tcW w:w="762" w:type="dxa"/>
            <w:tcBorders>
              <w:top w:val="nil"/>
              <w:left w:val="nil"/>
              <w:bottom w:val="single" w:color="auto" w:sz="4" w:space="0"/>
              <w:right w:val="single" w:color="auto" w:sz="4" w:space="0"/>
            </w:tcBorders>
            <w:shd w:val="clear" w:color="auto" w:fill="auto"/>
            <w:noWrap/>
            <w:vAlign w:val="center"/>
          </w:tcPr>
          <w:p w14:paraId="0F54E72B">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11 </w:t>
            </w:r>
          </w:p>
        </w:tc>
        <w:tc>
          <w:tcPr>
            <w:tcW w:w="1266" w:type="dxa"/>
            <w:tcBorders>
              <w:top w:val="nil"/>
              <w:left w:val="nil"/>
              <w:bottom w:val="single" w:color="auto" w:sz="4" w:space="0"/>
              <w:right w:val="single" w:color="auto" w:sz="4" w:space="0"/>
            </w:tcBorders>
            <w:shd w:val="clear" w:color="auto" w:fill="auto"/>
            <w:noWrap/>
            <w:vAlign w:val="center"/>
          </w:tcPr>
          <w:p w14:paraId="2A70C851">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23 </w:t>
            </w:r>
          </w:p>
        </w:tc>
      </w:tr>
      <w:tr w14:paraId="79E40D2A">
        <w:tblPrEx>
          <w:tblCellMar>
            <w:top w:w="0" w:type="dxa"/>
            <w:left w:w="108" w:type="dxa"/>
            <w:bottom w:w="0" w:type="dxa"/>
            <w:right w:w="108" w:type="dxa"/>
          </w:tblCellMar>
        </w:tblPrEx>
        <w:trPr>
          <w:trHeight w:val="227"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6459BE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1"/>
                <w:szCs w:val="21"/>
                <w:u w:val="none"/>
                <w:lang w:val="en-US" w:eastAsia="zh-CN" w:bidi="ar"/>
              </w:rPr>
              <w:t>三等奖学金</w:t>
            </w:r>
          </w:p>
        </w:tc>
        <w:tc>
          <w:tcPr>
            <w:tcW w:w="1412" w:type="dxa"/>
            <w:tcBorders>
              <w:top w:val="nil"/>
              <w:left w:val="nil"/>
              <w:bottom w:val="single" w:color="auto" w:sz="4" w:space="0"/>
              <w:right w:val="single" w:color="auto" w:sz="4" w:space="0"/>
            </w:tcBorders>
            <w:shd w:val="clear" w:color="auto" w:fill="auto"/>
            <w:noWrap/>
            <w:vAlign w:val="center"/>
          </w:tcPr>
          <w:p w14:paraId="4AEFA39A">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13 </w:t>
            </w:r>
          </w:p>
        </w:tc>
        <w:tc>
          <w:tcPr>
            <w:tcW w:w="860" w:type="dxa"/>
            <w:tcBorders>
              <w:top w:val="nil"/>
              <w:left w:val="nil"/>
              <w:bottom w:val="single" w:color="auto" w:sz="4" w:space="0"/>
              <w:right w:val="single" w:color="auto" w:sz="4" w:space="0"/>
            </w:tcBorders>
            <w:shd w:val="clear" w:color="auto" w:fill="auto"/>
            <w:noWrap/>
            <w:vAlign w:val="center"/>
          </w:tcPr>
          <w:p w14:paraId="7D1666D0">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36 </w:t>
            </w:r>
          </w:p>
        </w:tc>
        <w:tc>
          <w:tcPr>
            <w:tcW w:w="900" w:type="dxa"/>
            <w:tcBorders>
              <w:top w:val="nil"/>
              <w:left w:val="nil"/>
              <w:bottom w:val="single" w:color="auto" w:sz="4" w:space="0"/>
              <w:right w:val="single" w:color="auto" w:sz="4" w:space="0"/>
            </w:tcBorders>
            <w:shd w:val="clear" w:color="auto" w:fill="auto"/>
            <w:noWrap/>
            <w:vAlign w:val="center"/>
          </w:tcPr>
          <w:p w14:paraId="3F4CF55B">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41 </w:t>
            </w:r>
          </w:p>
        </w:tc>
        <w:tc>
          <w:tcPr>
            <w:tcW w:w="875" w:type="dxa"/>
            <w:tcBorders>
              <w:top w:val="nil"/>
              <w:left w:val="nil"/>
              <w:bottom w:val="single" w:color="auto" w:sz="4" w:space="0"/>
              <w:right w:val="single" w:color="auto" w:sz="4" w:space="0"/>
            </w:tcBorders>
            <w:shd w:val="clear" w:color="auto" w:fill="auto"/>
            <w:noWrap/>
            <w:vAlign w:val="center"/>
          </w:tcPr>
          <w:p w14:paraId="41A3523E">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10 </w:t>
            </w:r>
          </w:p>
        </w:tc>
        <w:tc>
          <w:tcPr>
            <w:tcW w:w="665" w:type="dxa"/>
            <w:tcBorders>
              <w:top w:val="nil"/>
              <w:left w:val="nil"/>
              <w:bottom w:val="single" w:color="auto" w:sz="4" w:space="0"/>
              <w:right w:val="single" w:color="auto" w:sz="4" w:space="0"/>
            </w:tcBorders>
            <w:shd w:val="clear" w:color="auto" w:fill="auto"/>
            <w:noWrap/>
            <w:vAlign w:val="center"/>
          </w:tcPr>
          <w:p w14:paraId="299DD149">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40 </w:t>
            </w:r>
          </w:p>
        </w:tc>
        <w:tc>
          <w:tcPr>
            <w:tcW w:w="763" w:type="dxa"/>
            <w:tcBorders>
              <w:top w:val="nil"/>
              <w:left w:val="nil"/>
              <w:bottom w:val="single" w:color="auto" w:sz="4" w:space="0"/>
              <w:right w:val="single" w:color="auto" w:sz="4" w:space="0"/>
            </w:tcBorders>
            <w:shd w:val="clear" w:color="auto" w:fill="auto"/>
            <w:noWrap/>
            <w:vAlign w:val="center"/>
          </w:tcPr>
          <w:p w14:paraId="0600312D">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6 </w:t>
            </w:r>
          </w:p>
        </w:tc>
        <w:tc>
          <w:tcPr>
            <w:tcW w:w="762" w:type="dxa"/>
            <w:tcBorders>
              <w:top w:val="nil"/>
              <w:left w:val="nil"/>
              <w:bottom w:val="single" w:color="auto" w:sz="4" w:space="0"/>
              <w:right w:val="single" w:color="auto" w:sz="4" w:space="0"/>
            </w:tcBorders>
            <w:shd w:val="clear" w:color="auto" w:fill="auto"/>
            <w:noWrap/>
            <w:vAlign w:val="center"/>
          </w:tcPr>
          <w:p w14:paraId="68F9C322">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15 </w:t>
            </w:r>
          </w:p>
        </w:tc>
        <w:tc>
          <w:tcPr>
            <w:tcW w:w="1266" w:type="dxa"/>
            <w:tcBorders>
              <w:top w:val="nil"/>
              <w:left w:val="nil"/>
              <w:bottom w:val="single" w:color="auto" w:sz="4" w:space="0"/>
              <w:right w:val="single" w:color="auto" w:sz="4" w:space="0"/>
            </w:tcBorders>
            <w:shd w:val="clear" w:color="auto" w:fill="auto"/>
            <w:noWrap/>
            <w:vAlign w:val="center"/>
          </w:tcPr>
          <w:p w14:paraId="3C761C9A">
            <w:pPr>
              <w:keepNext w:val="0"/>
              <w:keepLines w:val="0"/>
              <w:widowControl/>
              <w:suppressLineNumbers w:val="0"/>
              <w:jc w:val="center"/>
              <w:textAlignment w:val="center"/>
              <w:rPr>
                <w:rFonts w:hint="default" w:ascii="Times New Roman" w:hAnsi="Times New Roman" w:eastAsia="楷体" w:cs="Times New Roman"/>
                <w:color w:val="000000" w:themeColor="text1"/>
                <w:sz w:val="21"/>
                <w:szCs w:val="21"/>
                <w14:textFill>
                  <w14:solidFill>
                    <w14:schemeClr w14:val="tx1"/>
                  </w14:solidFill>
                </w14:textFill>
              </w:rPr>
            </w:pPr>
            <w:r>
              <w:rPr>
                <w:rFonts w:hint="default" w:ascii="Times New Roman" w:hAnsi="Times New Roman" w:eastAsia="楷体" w:cs="Times New Roman"/>
                <w:i w:val="0"/>
                <w:iCs w:val="0"/>
                <w:color w:val="000000"/>
                <w:kern w:val="0"/>
                <w:sz w:val="20"/>
                <w:szCs w:val="20"/>
                <w:u w:val="none"/>
                <w:lang w:val="en-US" w:eastAsia="zh-CN" w:bidi="ar"/>
              </w:rPr>
              <w:t xml:space="preserve">32 </w:t>
            </w:r>
          </w:p>
        </w:tc>
      </w:tr>
    </w:tbl>
    <w:p w14:paraId="1101EBD4">
      <w:pPr>
        <w:keepNext w:val="0"/>
        <w:keepLines w:val="0"/>
        <w:pageBreakBefore w:val="0"/>
        <w:widowControl/>
        <w:kinsoku/>
        <w:wordWrap/>
        <w:overflowPunct/>
        <w:topLinePunct w:val="0"/>
        <w:autoSpaceDE/>
        <w:autoSpaceDN/>
        <w:bidi w:val="0"/>
        <w:adjustRightInd/>
        <w:snapToGrid/>
        <w:spacing w:line="570" w:lineRule="exact"/>
        <w:rPr>
          <w:rFonts w:hint="default" w:ascii="Times New Roman" w:hAnsi="Times New Roman" w:eastAsia="仿宋_GB2312" w:cs="Times New Roman"/>
          <w:color w:val="000000" w:themeColor="text1"/>
          <w:sz w:val="28"/>
          <w:szCs w:val="28"/>
          <w14:textFill>
            <w14:solidFill>
              <w14:schemeClr w14:val="tx1"/>
            </w14:solidFill>
          </w14:textFill>
        </w:rPr>
      </w:pPr>
    </w:p>
    <w:p w14:paraId="737DD01A">
      <w:pPr>
        <w:keepNext w:val="0"/>
        <w:keepLines w:val="0"/>
        <w:pageBreakBefore w:val="0"/>
        <w:widowControl/>
        <w:kinsoku/>
        <w:wordWrap/>
        <w:overflowPunct/>
        <w:topLinePunct w:val="0"/>
        <w:autoSpaceDE/>
        <w:autoSpaceDN/>
        <w:bidi w:val="0"/>
        <w:adjustRightInd/>
        <w:snapToGrid/>
        <w:spacing w:line="57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总人数中</w:t>
      </w:r>
      <w:r>
        <w:rPr>
          <w:rFonts w:hint="default" w:ascii="Times New Roman" w:hAnsi="Times New Roman" w:eastAsia="仿宋_GB2312" w:cs="Times New Roman"/>
          <w:color w:val="000000" w:themeColor="text1"/>
          <w:sz w:val="28"/>
          <w:szCs w:val="28"/>
          <w14:textFill>
            <w14:solidFill>
              <w14:schemeClr w14:val="tx1"/>
            </w14:solidFill>
          </w14:textFill>
        </w:rPr>
        <w:t>不含定向就业、延期毕业学生，不含参评学年学籍状态处于休学、保留学籍学生，不含港澳台及留学生。</w:t>
      </w:r>
    </w:p>
    <w:p w14:paraId="7D8365E2">
      <w:pPr>
        <w:rPr>
          <w:rFonts w:hint="eastAsia" w:ascii="仿宋" w:hAnsi="仿宋" w:eastAsia="仿宋" w:cs="仿宋"/>
          <w:color w:val="000000" w:themeColor="text1"/>
          <w:sz w:val="32"/>
          <w:szCs w:val="32"/>
          <w14:textFill>
            <w14:solidFill>
              <w14:schemeClr w14:val="tx1"/>
            </w14:solidFill>
          </w14:textFill>
        </w:rPr>
      </w:pPr>
    </w:p>
    <w:p w14:paraId="4A9EC706">
      <w:pPr>
        <w:pStyle w:val="7"/>
        <w:widowControl/>
        <w:spacing w:beforeAutospacing="0" w:afterAutospacing="0" w:line="360" w:lineRule="auto"/>
        <w:jc w:val="both"/>
        <w:rPr>
          <w:rFonts w:hint="eastAsia" w:ascii="仿宋" w:hAnsi="仿宋" w:eastAsia="仿宋" w:cs="仿宋"/>
          <w:bCs/>
          <w:color w:val="000000"/>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6FE84"/>
    <w:multiLevelType w:val="singleLevel"/>
    <w:tmpl w:val="83E6FE84"/>
    <w:lvl w:ilvl="0" w:tentative="0">
      <w:start w:val="6"/>
      <w:numFmt w:val="chineseCounting"/>
      <w:suff w:val="nothing"/>
      <w:lvlText w:val="%1、"/>
      <w:lvlJc w:val="left"/>
      <w:rPr>
        <w:rFonts w:hint="eastAsia"/>
      </w:rPr>
    </w:lvl>
  </w:abstractNum>
  <w:abstractNum w:abstractNumId="1">
    <w:nsid w:val="BEE359C7"/>
    <w:multiLevelType w:val="singleLevel"/>
    <w:tmpl w:val="BEE359C7"/>
    <w:lvl w:ilvl="0" w:tentative="0">
      <w:start w:val="2"/>
      <w:numFmt w:val="chineseCounting"/>
      <w:suff w:val="nothing"/>
      <w:lvlText w:val="（%1）"/>
      <w:lvlJc w:val="left"/>
      <w:rPr>
        <w:rFonts w:hint="eastAsia"/>
      </w:rPr>
    </w:lvl>
  </w:abstractNum>
  <w:abstractNum w:abstractNumId="2">
    <w:nsid w:val="520B36C5"/>
    <w:multiLevelType w:val="singleLevel"/>
    <w:tmpl w:val="520B36C5"/>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MmQxZWNkMjk1MDNhYTdkNmUzM2NhMWRhOWE1M2UifQ=="/>
  </w:docVars>
  <w:rsids>
    <w:rsidRoot w:val="F7760456"/>
    <w:rsid w:val="000D6F3B"/>
    <w:rsid w:val="000D7E94"/>
    <w:rsid w:val="00162358"/>
    <w:rsid w:val="00227818"/>
    <w:rsid w:val="002428CB"/>
    <w:rsid w:val="00341101"/>
    <w:rsid w:val="004A5089"/>
    <w:rsid w:val="0050186D"/>
    <w:rsid w:val="005120F8"/>
    <w:rsid w:val="00543B36"/>
    <w:rsid w:val="00560739"/>
    <w:rsid w:val="00590068"/>
    <w:rsid w:val="0067323D"/>
    <w:rsid w:val="006C624D"/>
    <w:rsid w:val="00720975"/>
    <w:rsid w:val="0080048A"/>
    <w:rsid w:val="00805A07"/>
    <w:rsid w:val="00885C5A"/>
    <w:rsid w:val="008D195E"/>
    <w:rsid w:val="009033C6"/>
    <w:rsid w:val="00940DD1"/>
    <w:rsid w:val="009A247A"/>
    <w:rsid w:val="009C0FD1"/>
    <w:rsid w:val="009C7752"/>
    <w:rsid w:val="00A04CEF"/>
    <w:rsid w:val="00A175C2"/>
    <w:rsid w:val="00A21667"/>
    <w:rsid w:val="00A7501A"/>
    <w:rsid w:val="00A77D65"/>
    <w:rsid w:val="00A940D1"/>
    <w:rsid w:val="00B30F3C"/>
    <w:rsid w:val="00B95621"/>
    <w:rsid w:val="00BA03E7"/>
    <w:rsid w:val="00C065AA"/>
    <w:rsid w:val="00C7752C"/>
    <w:rsid w:val="00CE0321"/>
    <w:rsid w:val="00DA5F7A"/>
    <w:rsid w:val="00DC56BF"/>
    <w:rsid w:val="00DC6EA6"/>
    <w:rsid w:val="00E30452"/>
    <w:rsid w:val="00E4241E"/>
    <w:rsid w:val="00F455CD"/>
    <w:rsid w:val="00F838AB"/>
    <w:rsid w:val="353C284D"/>
    <w:rsid w:val="38FB0BF9"/>
    <w:rsid w:val="3C8B3CCA"/>
    <w:rsid w:val="4C933774"/>
    <w:rsid w:val="5FBC26EC"/>
    <w:rsid w:val="604E1113"/>
    <w:rsid w:val="6B8248D6"/>
    <w:rsid w:val="6E33424A"/>
    <w:rsid w:val="772E55AD"/>
    <w:rsid w:val="7F6E5620"/>
    <w:rsid w:val="EBFFC487"/>
    <w:rsid w:val="F7760456"/>
    <w:rsid w:val="FFCE0FF1"/>
    <w:rsid w:val="FFFE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2835</Words>
  <Characters>3027</Characters>
  <Lines>18</Lines>
  <Paragraphs>5</Paragraphs>
  <TotalTime>19</TotalTime>
  <ScaleCrop>false</ScaleCrop>
  <LinksUpToDate>false</LinksUpToDate>
  <CharactersWithSpaces>3056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2024-10-23T08:06:00Z</dcterms:created>
  <dc:creator>outongtong</dc:creator>
  <cp:lastModifiedBy>大磊</cp:lastModifiedBy>
  <cp:lastPrinted>2025-10-27T03:52:00Z</cp:lastPrinted>
  <dcterms:modified xsi:type="dcterms:W3CDTF">2025-10-27T06:46:52Z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A1565DE92EAF4ACA879AF27623043DA6_13</vt:lpwstr>
  </property>
  <property fmtid="{D5CDD505-2E9C-101B-9397-08002B2CF9AE}" pid="4" name="KSOTemplateDocerSaveRecord">
    <vt:lpwstr>eyJoZGlkIjoiN2YzNGE3ZDJiYzY1YmM1Y2FlZTQ4NDU0ZWIwOGJhOTQiLCJ1c2VySWQiOiIyNjY0MzYyNTIifQ==</vt:lpwstr>
  </property>
</Properties>
</file>